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ind w:left="0"/>
        <w:rPr>
          <w:rFonts w:ascii="黑体" w:eastAsia="黑体" w:cs="黑体" w:hAnsi="黑体" w:hint="eastAsia"/>
        </w:rPr>
      </w:pPr>
      <w:bookmarkStart w:id="0" w:name="_GoBack"/>
      <w:bookmarkEnd w:id="0"/>
      <w:r>
        <w:rPr>
          <w:rFonts w:ascii="黑体" w:eastAsia="黑体" w:cs="黑体" w:hAnsi="黑体" w:hint="eastAsia"/>
        </w:rPr>
        <w:t>附件１：</w:t>
      </w:r>
    </w:p>
    <w:p>
      <w:pPr>
        <w:spacing w:line="600" w:lineRule="exact"/>
        <w:ind w:left="0"/>
        <w:jc w:val="center"/>
        <w:rPr>
          <w:rFonts w:ascii="黑体" w:eastAsia="黑体" w:cs="黑体" w:hAnsi="黑体"/>
          <w:sz w:val="44"/>
          <w:szCs w:val="44"/>
        </w:rPr>
      </w:pPr>
    </w:p>
    <w:p>
      <w:pPr>
        <w:spacing w:line="660" w:lineRule="exact"/>
        <w:ind w:left="0"/>
        <w:jc w:val="center"/>
        <w:rPr>
          <w:rFonts w:ascii="方正小标宋_GBK" w:eastAsia="方正小标宋_GBK" w:cs="方正小标宋_GBK" w:hAnsi="方正小标宋_GBK"/>
          <w:sz w:val="44"/>
          <w:szCs w:val="44"/>
        </w:rPr>
      </w:pP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202</w:t>
      </w:r>
      <w:r>
        <w:rPr>
          <w:rFonts w:ascii="方正小标宋_GBK" w:eastAsia="方正小标宋_GBK" w:cs="方正小标宋_GBK" w:hAnsi="方正小标宋_GBK"/>
          <w:sz w:val="44"/>
          <w:szCs w:val="44"/>
        </w:rPr>
        <w:t>6</w:t>
      </w: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年度河北省</w:t>
      </w:r>
      <w:r>
        <w:rPr>
          <w:rFonts w:ascii="方正小标宋_GBK" w:eastAsia="方正小标宋_GBK" w:cs="方正小标宋_GBK" w:hAnsi="方正小标宋_GBK"/>
          <w:sz w:val="44"/>
          <w:szCs w:val="44"/>
        </w:rPr>
        <w:t>重大科技支撑计划</w:t>
      </w:r>
    </w:p>
    <w:p>
      <w:pPr>
        <w:spacing w:line="660" w:lineRule="exact"/>
        <w:ind w:left="0"/>
        <w:jc w:val="center"/>
        <w:rPr>
          <w:rFonts w:ascii="方正小标宋_GBK" w:eastAsia="方正小标宋_GBK" w:cs="方正小标宋_GBK" w:hAnsi="方正小标宋_GBK"/>
          <w:sz w:val="44"/>
          <w:szCs w:val="44"/>
        </w:rPr>
      </w:pP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民生保障与社会安全协同创新</w:t>
      </w:r>
      <w:r>
        <w:rPr>
          <w:rFonts w:ascii="方正小标宋_GBK" w:eastAsia="方正小标宋_GBK" w:cs="方正小标宋_GBK" w:hAnsi="方正小标宋_GBK"/>
          <w:sz w:val="44"/>
          <w:szCs w:val="44"/>
        </w:rPr>
        <w:t>专项</w:t>
      </w:r>
    </w:p>
    <w:p>
      <w:pPr>
        <w:spacing w:line="660" w:lineRule="exact"/>
        <w:ind w:left="0"/>
        <w:jc w:val="center"/>
        <w:rPr>
          <w:rFonts w:ascii="方正小标宋_GBK" w:eastAsia="方正小标宋_GBK" w:cs="方正小标宋_GBK" w:hAnsi="方正小标宋_GBK"/>
          <w:sz w:val="44"/>
          <w:szCs w:val="44"/>
        </w:rPr>
      </w:pP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（塞罕坝林场二次创业与林草资源保护）</w:t>
      </w:r>
    </w:p>
    <w:p>
      <w:pPr>
        <w:spacing w:line="660" w:lineRule="exact"/>
        <w:ind w:left="0"/>
        <w:jc w:val="center"/>
        <w:rPr>
          <w:rFonts w:ascii="方正小标宋_GBK" w:eastAsia="方正小标宋_GBK" w:cs="方正小标宋_GBK" w:hAnsi="方正小标宋_GBK" w:hint="eastAsia"/>
          <w:sz w:val="44"/>
          <w:szCs w:val="44"/>
        </w:rPr>
      </w:pP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项目申报指南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</w:p>
    <w:p>
      <w:pPr>
        <w:spacing w:line="560" w:lineRule="exact"/>
        <w:ind w:firstLineChars="200" w:firstLine="640"/>
        <w:rPr>
          <w:rFonts w:ascii="黑体" w:eastAsia="黑体" w:cs="黑体" w:hAnsi="黑体" w:hint="eastAsia"/>
        </w:rPr>
      </w:pPr>
      <w:r>
        <w:rPr>
          <w:rFonts w:ascii="黑体" w:eastAsia="黑体" w:cs="黑体" w:hAnsi="黑体" w:hint="eastAsia"/>
        </w:rPr>
        <w:t>一、总体安排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/>
        </w:rPr>
        <w:t>本专项</w:t>
      </w:r>
      <w:r>
        <w:rPr>
          <w:rFonts w:ascii="Times New Roman" w:hAnsi="Times New Roman" w:hint="eastAsia"/>
        </w:rPr>
        <w:t>以营建“健康、稳定、优质、高效”的森林系统为目标，</w:t>
      </w:r>
      <w:r>
        <w:rPr>
          <w:rFonts w:ascii="Times New Roman" w:hAnsi="Times New Roman"/>
        </w:rPr>
        <w:t>重点</w:t>
      </w:r>
      <w:r>
        <w:rPr>
          <w:rFonts w:ascii="Times New Roman" w:hAnsi="Times New Roman" w:hint="eastAsia"/>
        </w:rPr>
        <w:t>围绕塞罕坝</w:t>
      </w:r>
      <w:r>
        <w:rPr>
          <w:rFonts w:ascii="Times New Roman" w:hAnsi="Times New Roman"/>
        </w:rPr>
        <w:t>林场</w:t>
      </w:r>
      <w:r>
        <w:rPr>
          <w:rFonts w:ascii="Times New Roman" w:hAnsi="Times New Roman" w:hint="eastAsia"/>
        </w:rPr>
        <w:t>亟待解决的白桦蒙古栎次生林质量差效益低、碳计量效率低精准差、高寒地区林下经济发展技术水平落后、苗木培育成套专用装备缺乏等４个</w:t>
      </w:r>
      <w:r>
        <w:rPr>
          <w:rFonts w:ascii="Times New Roman" w:hAnsi="Times New Roman"/>
        </w:rPr>
        <w:t>科研攻关</w:t>
      </w:r>
      <w:r>
        <w:rPr>
          <w:rFonts w:ascii="Times New Roman" w:hAnsi="Times New Roman" w:hint="eastAsia"/>
        </w:rPr>
        <w:t>方向</w:t>
      </w:r>
      <w:r>
        <w:rPr>
          <w:rFonts w:ascii="Times New Roman" w:hAnsi="Times New Roman"/>
        </w:rPr>
        <w:t>，立足我省科技创新基础和优势，重点支持产学研结合，共同开展塞罕坝林场二次创业与林草资源保护中关键技术攻关，推动跨领域技术交叉融合创新，培育发展新质生产力，为塞罕坝二次创新高质量发展提供有力支撑。</w:t>
      </w:r>
    </w:p>
    <w:p>
      <w:pPr>
        <w:spacing w:line="560" w:lineRule="exact"/>
        <w:ind w:firstLineChars="200" w:firstLine="640"/>
        <w:rPr>
          <w:rFonts w:ascii="黑体" w:eastAsia="黑体" w:cs="黑体" w:hAnsi="黑体" w:hint="eastAsia"/>
        </w:rPr>
      </w:pPr>
      <w:r>
        <w:rPr>
          <w:rFonts w:ascii="黑体" w:eastAsia="黑体" w:cs="黑体" w:hAnsi="黑体" w:hint="eastAsia"/>
        </w:rPr>
        <w:t>二、</w:t>
      </w:r>
      <w:r>
        <w:rPr>
          <w:rFonts w:ascii="黑体" w:eastAsia="黑体" w:cs="黑体" w:hAnsi="黑体"/>
        </w:rPr>
        <w:t>支持</w:t>
      </w:r>
      <w:r>
        <w:rPr>
          <w:rFonts w:ascii="黑体" w:eastAsia="黑体" w:cs="黑体" w:hAnsi="黑体" w:hint="eastAsia"/>
        </w:rPr>
        <w:t>重点</w:t>
      </w:r>
    </w:p>
    <w:p>
      <w:pPr>
        <w:spacing w:line="560" w:lineRule="exact"/>
        <w:ind w:firstLineChars="200" w:firstLine="640"/>
        <w:rPr>
          <w:rFonts w:ascii="楷体_GB2312" w:eastAsia="楷体_GB2312" w:cs="楷体_GB2312" w:hAnsi="Times New Roman" w:hint="eastAsia"/>
          <w:b/>
          <w:color w:val="0C0C0C"/>
        </w:rPr>
      </w:pPr>
      <w:r>
        <w:rPr>
          <w:rFonts w:ascii="楷体_GB2312" w:eastAsia="楷体_GB2312" w:cs="楷体_GB2312" w:hAnsi="Times New Roman" w:hint="eastAsia"/>
          <w:b/>
          <w:color w:val="0C0C0C"/>
        </w:rPr>
        <w:t>（一）塞罕坝次生林提质增效经营技术研究与示范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1.</w:t>
      </w:r>
      <w:r>
        <w:rPr>
          <w:rFonts w:ascii="Times New Roman" w:cs="楷体_GB2312" w:hAnsi="Times New Roman" w:hint="eastAsia"/>
          <w:b/>
          <w:color w:val="0C0C0C"/>
        </w:rPr>
        <w:t>主要任务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以塞罕坝白桦、蒙古栎天然次生林为研究对象，基于样地、小班、遥感数据，分析物种组成、林分结构变化规律，开展立地质量评价；分析不同立地条件下次生林生长发育规律，构建林分断面积、蓄积量现实与潜在生产力模型；研发次生林乡土树种适配、补植密度与方式、空间结构优化等关键技术，集成次生林提质增效经营技术体系，并开展试验示范；从树种多样性、林分结构、生产力等方面开展经营成效评价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2.考核</w:t>
      </w:r>
      <w:r>
        <w:rPr>
          <w:rFonts w:ascii="Times New Roman" w:cs="楷体_GB2312" w:hAnsi="Times New Roman" w:hint="eastAsia"/>
          <w:b/>
          <w:color w:val="0C0C0C"/>
        </w:rPr>
        <w:t>指标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研发次生林立地质量评价技术1项</w:t>
      </w:r>
      <w:r>
        <w:rPr>
          <w:rFonts w:ascii="Times New Roman" w:cs="楷体_GB2312" w:hAnsi="Times New Roman"/>
          <w:bCs w:val="0"/>
          <w:color w:val="0C0C0C"/>
        </w:rPr>
        <w:t>，</w:t>
      </w:r>
      <w:r>
        <w:rPr>
          <w:rFonts w:ascii="Times New Roman" w:cs="楷体_GB2312" w:hAnsi="Times New Roman" w:hint="eastAsia"/>
          <w:bCs w:val="0"/>
          <w:color w:val="0C0C0C"/>
        </w:rPr>
        <w:t>次生林结构优化经营技术1项；申请发明专利2项；建立试验示范林3000亩，年均单木材积年增长量提升10%以上；植物多样性指数提升10%；培训基层技术人员及林农300人次。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3.</w:t>
      </w:r>
      <w:r>
        <w:rPr>
          <w:rFonts w:ascii="Times New Roman" w:cs="楷体_GB2312" w:hAnsi="Times New Roman" w:hint="eastAsia"/>
          <w:b/>
          <w:color w:val="0C0C0C"/>
        </w:rPr>
        <w:t>关键技术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次生林立地质量评价技术；次生林结构优化经营技术。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4.</w:t>
      </w:r>
      <w:r>
        <w:rPr>
          <w:rFonts w:ascii="Times New Roman" w:cs="楷体_GB2312" w:hAnsi="Times New Roman" w:hint="eastAsia"/>
          <w:b/>
          <w:color w:val="0C0C0C"/>
        </w:rPr>
        <w:t>示范内容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建设3000亩试验示范林，展示白桦、蒙古栎次生林冠下树种补植及其空间配置方式，呈现合理树种组配与空间结构优化技术，监测评价次生林结构优化经营技术效果，总结提炼可复制可推广的次生林提质增效技术模式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5.</w:t>
      </w:r>
      <w:r>
        <w:rPr>
          <w:rFonts w:ascii="Times New Roman" w:cs="楷体_GB2312" w:hAnsi="Times New Roman" w:hint="eastAsia"/>
          <w:b/>
          <w:color w:val="0C0C0C"/>
        </w:rPr>
        <w:t>应用前景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冀北地区白桦、蒙古栎次生林分布广、面积大、质量低。本项目提出的次生林结构优化经营技术，能够有效解决塞罕坝及冀北地区白桦、蒙古栎次生林树种适配、空间结构优化等技术难题</w:t>
      </w:r>
      <w:r>
        <w:rPr>
          <w:rFonts w:ascii="Times New Roman" w:cs="楷体_GB2312" w:hAnsi="Times New Roman"/>
          <w:bCs w:val="0"/>
          <w:color w:val="0C0C0C"/>
        </w:rPr>
        <w:t>，</w:t>
      </w:r>
      <w:r>
        <w:rPr>
          <w:rFonts w:ascii="Times New Roman" w:cs="楷体_GB2312" w:hAnsi="Times New Roman" w:hint="eastAsia"/>
          <w:bCs w:val="0"/>
          <w:color w:val="0C0C0C"/>
        </w:rPr>
        <w:t>在冀北地区、干旱半干旱地区具有广阔的应用前景。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hAnsi="Times New Roman"/>
          <w:b/>
        </w:rPr>
        <w:t>6.财政经费预算：</w:t>
      </w:r>
      <w:r>
        <w:rPr>
          <w:rFonts w:ascii="Times New Roman" w:hAnsi="Times New Roman"/>
        </w:rPr>
        <w:t>260万元。</w:t>
      </w:r>
    </w:p>
    <w:p>
      <w:pPr>
        <w:spacing w:line="560" w:lineRule="exact"/>
        <w:ind w:firstLineChars="200" w:firstLine="640"/>
        <w:rPr>
          <w:rFonts w:ascii="楷体_GB2312" w:eastAsia="楷体_GB2312" w:cs="楷体_GB2312" w:hAnsi="Times New Roman" w:hint="eastAsia"/>
          <w:b/>
          <w:color w:val="0C0C0C"/>
        </w:rPr>
      </w:pPr>
      <w:r>
        <w:rPr>
          <w:rFonts w:ascii="楷体_GB2312" w:eastAsia="楷体_GB2312" w:cs="楷体_GB2312" w:hAnsi="Times New Roman" w:hint="eastAsia"/>
          <w:b/>
          <w:color w:val="0C0C0C"/>
        </w:rPr>
        <w:t>（二）塞罕坝次生林碳计量技术研究与示范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1.</w:t>
      </w:r>
      <w:r>
        <w:rPr>
          <w:rFonts w:ascii="Times New Roman" w:cs="楷体_GB2312" w:hAnsi="Times New Roman" w:hint="eastAsia"/>
          <w:b/>
          <w:color w:val="0C0C0C"/>
        </w:rPr>
        <w:t>主要任务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 xml:space="preserve">围绕白桦、蒙古栎次生林碳汇评估，利用多平台激光雷达数据，结合地面调查和模型分析，研发单木-林分结构参数提取和树种识别技术；基于提取的单木与林分结构参数，发展生物量估计特征参量，构建生物量估计模型；结合生物量遥感监测结果，建立单木-林分多尺度碳计量方法，形成适用于白桦、蒙古栎次生林的碳计量技术。 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2.考核</w:t>
      </w:r>
      <w:r>
        <w:rPr>
          <w:rFonts w:ascii="Times New Roman" w:cs="楷体_GB2312" w:hAnsi="Times New Roman" w:hint="eastAsia"/>
          <w:b/>
          <w:color w:val="0C0C0C"/>
        </w:rPr>
        <w:t>指标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以塞罕坝白桦、蒙古栎次生林为对象，研发多平台激光雷达次生林结构参数提取技术1项，形成适用于天然次生林的多尺度激光雷达碳计量技术1项，申请发明专利2项，申请软件著作权1件，与传统森林调查方式相比较，碳计量效率提高3倍以上，为次生林碳汇管理提供技术支撑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3.</w:t>
      </w:r>
      <w:r>
        <w:rPr>
          <w:rFonts w:ascii="Times New Roman" w:cs="楷体_GB2312" w:hAnsi="Times New Roman" w:hint="eastAsia"/>
          <w:b/>
          <w:color w:val="0C0C0C"/>
        </w:rPr>
        <w:t>关键技术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基于多平台激光雷达的天然次生林单木-林分结构参数提取和树种识别技术；天然次生林多尺度遥感碳计量技术。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hAnsi="Times New Roman" w:hint="eastAsia"/>
          <w:b/>
          <w:color w:val="0C0C0C"/>
        </w:rPr>
        <w:t>4.示范内容。</w:t>
      </w:r>
      <w:r>
        <w:rPr>
          <w:rFonts w:ascii="Times New Roman" w:cs="楷体_GB2312" w:hAnsi="Times New Roman" w:hint="eastAsia"/>
          <w:bCs w:val="0"/>
          <w:color w:val="0C0C0C"/>
        </w:rPr>
        <w:t>选择典型白桦、蒙古栎次生林示范激光雷达作业过程，展示次生林结构参数提取和树种识别技术，建设次生林碳计量平台。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5.</w:t>
      </w:r>
      <w:r>
        <w:rPr>
          <w:rFonts w:ascii="Times New Roman" w:cs="楷体_GB2312" w:hAnsi="Times New Roman" w:hint="eastAsia"/>
          <w:b/>
          <w:color w:val="0C0C0C"/>
        </w:rPr>
        <w:t>应用前景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本项目拟形成基于多平台激光雷达的次生林结构参数提取、树种识别，以及多尺度碳计量技术，可广泛应用于塞罕坝林场、冀北山地国有林场乃至全国天然次生林结构量化和碳计量。相关成果可直接服务于国家森林质量精准提升、生态产品价值实现和“双碳”战略等重大需求，具有广阔的应用前景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hAnsi="Times New Roman"/>
          <w:b/>
        </w:rPr>
        <w:t>6.财政经费预算：</w:t>
      </w:r>
      <w:r>
        <w:rPr>
          <w:rFonts w:ascii="Times New Roman" w:hAnsi="Times New Roman"/>
        </w:rPr>
        <w:t>80万元。</w:t>
      </w:r>
    </w:p>
    <w:p>
      <w:pPr>
        <w:spacing w:line="560" w:lineRule="exact"/>
        <w:ind w:firstLineChars="200" w:firstLine="640"/>
        <w:rPr>
          <w:rFonts w:ascii="楷体_GB2312" w:eastAsia="楷体_GB2312" w:cs="楷体_GB2312" w:hAnsi="Times New Roman" w:hint="eastAsia"/>
          <w:b/>
          <w:color w:val="0C0C0C"/>
        </w:rPr>
      </w:pPr>
      <w:r>
        <w:rPr>
          <w:rFonts w:ascii="楷体_GB2312" w:eastAsia="楷体_GB2312" w:cs="楷体_GB2312" w:hAnsi="Times New Roman" w:hint="eastAsia"/>
          <w:b/>
          <w:color w:val="0C0C0C"/>
        </w:rPr>
        <w:t>（三）塞罕坝次生林林下生态栽培技术研究与示范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hAnsi="Times New Roman" w:hint="eastAsia"/>
          <w:b/>
          <w:color w:val="0C0C0C"/>
        </w:rPr>
        <w:t>1.主要任务。</w:t>
      </w:r>
      <w:r>
        <w:rPr>
          <w:rFonts w:ascii="Times New Roman" w:cs="楷体_GB2312" w:hAnsi="Times New Roman" w:hint="eastAsia"/>
          <w:bCs w:val="0"/>
          <w:color w:val="0C0C0C"/>
        </w:rPr>
        <w:t>主要针对塞罕坝天然蒙古栎、白桦次生林特征，基于优势树种-林分类型-林地环境条件，解析“林-光-水-土-生（药、菌、菜）”耦合关系，筛选适宜我省高寒地区次生林下生态栽培的经济作物；探究林下空间优化适配技术指标，构建生态优先前提下生态产业功能相容、林上林下互利共生的林下经济模式；研发“林分结构调控-微生境培育-适生作物选择-林下生态栽培-生态经济效益评估”五位一体的林下复合栽培技术体系；建设林下栽培示范林，带动区域产业发展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2.考核</w:t>
      </w:r>
      <w:r>
        <w:rPr>
          <w:rFonts w:ascii="Times New Roman" w:cs="楷体_GB2312" w:hAnsi="Times New Roman" w:hint="eastAsia"/>
          <w:b/>
          <w:color w:val="0C0C0C"/>
        </w:rPr>
        <w:t>指标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以促进塞罕坝林下经济产业发展为目标，研究次生林林地微环境与栽培作物耦合关系，形成林下栽培适配技术1项、林下生态栽培技术体系1套，提出林药、林菌、林菜等林下生态栽培技术模式3个；申请发明专利2件；建设林下栽培示范林100亩，示范区林下栽培年均亩产值提高300元；培训基层技术人员及林农200人次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3.</w:t>
      </w:r>
      <w:r>
        <w:rPr>
          <w:rFonts w:ascii="Times New Roman" w:cs="楷体_GB2312" w:hAnsi="Times New Roman" w:hint="eastAsia"/>
          <w:b/>
          <w:color w:val="0C0C0C"/>
        </w:rPr>
        <w:t>关键技术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林下栽培微环境优化调控技术；林下经济作物适配筛选；林下空间复合经营利用技术。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4.</w:t>
      </w:r>
      <w:r>
        <w:rPr>
          <w:rFonts w:ascii="Times New Roman" w:cs="楷体_GB2312" w:hAnsi="Times New Roman" w:hint="eastAsia"/>
          <w:b/>
          <w:color w:val="0C0C0C"/>
        </w:rPr>
        <w:t>示范内容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建设100亩林下栽培试验示范林，展示白桦、蒙古栎林下复合栽培环境调控及空间适配技术，示范林药、林菌、林菜等林下生态栽培技术模式，总结提炼可复制可推广的次生林下栽培技术模式。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5.</w:t>
      </w:r>
      <w:r>
        <w:rPr>
          <w:rFonts w:ascii="Times New Roman" w:cs="楷体_GB2312" w:hAnsi="Times New Roman" w:hint="eastAsia"/>
          <w:b/>
          <w:color w:val="0C0C0C"/>
        </w:rPr>
        <w:t>应用前景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形成的“林下复合栽培”配套技术，可激发我省林下经济发展活力，推进生态产业化、产业生态化融合发展，促进森林整体效益发挥，推进林草“提质、兴业、利民”，打造践行“向森林要食物”的“大食物观”理念的示范样板，在冀北山地以及森林环境相似地区具有广阔的应用前景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hAnsi="Times New Roman"/>
          <w:b/>
        </w:rPr>
        <w:t>6.财政经费预算：</w:t>
      </w:r>
      <w:r>
        <w:rPr>
          <w:rFonts w:ascii="Times New Roman" w:hAnsi="Times New Roman"/>
        </w:rPr>
        <w:t>80万元。</w:t>
      </w:r>
    </w:p>
    <w:p>
      <w:pPr>
        <w:spacing w:line="560" w:lineRule="exact"/>
        <w:ind w:firstLineChars="200" w:firstLine="640"/>
        <w:rPr>
          <w:rFonts w:ascii="楷体_GB2312" w:eastAsia="楷体_GB2312" w:cs="楷体_GB2312" w:hAnsi="Times New Roman" w:hint="eastAsia"/>
          <w:b/>
          <w:color w:val="0C0C0C"/>
        </w:rPr>
      </w:pPr>
      <w:r>
        <w:rPr>
          <w:rFonts w:ascii="楷体_GB2312" w:eastAsia="楷体_GB2312" w:cs="楷体_GB2312" w:hAnsi="Times New Roman" w:hint="eastAsia"/>
          <w:b/>
          <w:color w:val="0C0C0C"/>
        </w:rPr>
        <w:t>（四）塞罕坝次生林更新苗木培育机械装备研发与示范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1.</w:t>
      </w:r>
      <w:r>
        <w:rPr>
          <w:rFonts w:ascii="Times New Roman" w:cs="楷体_GB2312" w:hAnsi="Times New Roman" w:hint="eastAsia"/>
          <w:b/>
          <w:color w:val="0C0C0C"/>
        </w:rPr>
        <w:t>主要任务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聚焦塞罕坝次生林经营对高质量苗木供给要求，以塞罕坝全光育苗环境为约束条件，围绕林木种子物理力学特性、幼苗根系易损特征及关键生育期水肥需求，开展整地与基床成型一致性控制技术，育苗床面均匀播种技术，智能视觉激光威慑驱鸟技术，基于智能预警的水肥精准供给技术，基于刚性-柔性耦合机理的苗木低损起收等技术研发。创制高效作床播种、智能驱鸟、精准水肥供给、低损苗木起收等专用装备，提高苗木培育关键环节机械化、自动化作业水平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2.考核</w:t>
      </w:r>
      <w:r>
        <w:rPr>
          <w:rFonts w:ascii="Times New Roman" w:cs="楷体_GB2312" w:hAnsi="Times New Roman" w:hint="eastAsia"/>
          <w:b/>
          <w:color w:val="0C0C0C"/>
        </w:rPr>
        <w:t>指标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基于提高营造林生产机械化水平，研发高效作床播种、智能激光驱鸟、精准水肥供给、低损苗木起收等专用装备4 台套，与塞罕坝林场现行人工/半机械化育苗方式相比较，作业效率提高3倍以上，播种均匀度≥90%，苗床种子及幼苗鸟害受损率≤5%，苗木起收损伤率≤5%；集成塞罕坝林场次生林更新高效苗木培育机械化技术体系1套，申请发明专利 2 项，建成机械化苗木培育示范基地50亩。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3.</w:t>
      </w:r>
      <w:r>
        <w:rPr>
          <w:rFonts w:ascii="Times New Roman" w:cs="楷体_GB2312" w:hAnsi="Times New Roman" w:hint="eastAsia"/>
          <w:b/>
          <w:color w:val="0C0C0C"/>
        </w:rPr>
        <w:t>关键技术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整地与基床成型一致性控制技术，育苗床面匀播技术，智能视觉激光威慑驱鸟技术，基于智能预警的水肥精准供给技术，基于刚性-柔性耦合机理的苗木低损起收技术。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4.</w:t>
      </w:r>
      <w:r>
        <w:rPr>
          <w:rFonts w:ascii="Times New Roman" w:cs="楷体_GB2312" w:hAnsi="Times New Roman" w:hint="eastAsia"/>
          <w:b/>
          <w:color w:val="0C0C0C"/>
        </w:rPr>
        <w:t>示范内容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建成机械化苗木培育示范基地50亩，示范“作床—播种—管护—起苗”全流程机械化育苗生产模式，打造规模化次生林更新优质苗木培育示范样板。</w:t>
      </w:r>
    </w:p>
    <w:p>
      <w:pPr>
        <w:spacing w:line="560" w:lineRule="exact"/>
        <w:ind w:firstLineChars="200" w:firstLine="640"/>
        <w:rPr>
          <w:rFonts w:ascii="Times New Roman" w:cs="楷体_GB2312" w:hAnsi="Times New Roman" w:hint="eastAsia"/>
          <w:bCs w:val="0"/>
          <w:color w:val="0C0C0C"/>
        </w:rPr>
      </w:pPr>
      <w:r>
        <w:rPr>
          <w:rFonts w:ascii="Times New Roman" w:cs="楷体_GB2312" w:hAnsi="Times New Roman"/>
          <w:b/>
          <w:color w:val="0C0C0C"/>
        </w:rPr>
        <w:t>5.</w:t>
      </w:r>
      <w:r>
        <w:rPr>
          <w:rFonts w:ascii="Times New Roman" w:cs="楷体_GB2312" w:hAnsi="Times New Roman" w:hint="eastAsia"/>
          <w:b/>
          <w:color w:val="0C0C0C"/>
        </w:rPr>
        <w:t>应用前景</w:t>
      </w:r>
      <w:r>
        <w:rPr>
          <w:rFonts w:ascii="Times New Roman" w:cs="楷体_GB2312" w:hAnsi="Times New Roman"/>
          <w:b/>
          <w:color w:val="0C0C0C"/>
        </w:rPr>
        <w:t>。</w:t>
      </w:r>
      <w:r>
        <w:rPr>
          <w:rFonts w:ascii="Times New Roman" w:cs="楷体_GB2312" w:hAnsi="Times New Roman" w:hint="eastAsia"/>
          <w:bCs w:val="0"/>
          <w:color w:val="0C0C0C"/>
        </w:rPr>
        <w:t>本项目创制的高效作床播种、智能激光驱鸟、精准水肥供给、低损苗木起收等系列装备，可适配塞罕坝及三北地区高寒、干旱等特殊环境，为区域苗木培育提供可复制、可推广的机械化解决方案，助力构建规范化苗木培育机械化作业模式，应用前景广阔。</w:t>
      </w:r>
    </w:p>
    <w:p>
      <w:pPr>
        <w:spacing w:line="560" w:lineRule="exact"/>
        <w:ind w:firstLineChars="200" w:firstLine="640"/>
        <w:rPr>
          <w:rFonts w:ascii="Times New Roman" w:cs="楷体_GB2312" w:hAnsi="Times New Roman"/>
          <w:bCs w:val="0"/>
          <w:color w:val="0C0C0C"/>
        </w:rPr>
      </w:pPr>
      <w:r>
        <w:rPr>
          <w:rFonts w:ascii="Times New Roman" w:hAnsi="Times New Roman"/>
          <w:b/>
        </w:rPr>
        <w:t>6.财政经费预算：</w:t>
      </w:r>
      <w:r>
        <w:rPr>
          <w:rFonts w:ascii="Times New Roman" w:hAnsi="Times New Roman"/>
        </w:rPr>
        <w:t>80万元。</w:t>
      </w:r>
    </w:p>
    <w:p>
      <w:pPr>
        <w:wordWrap/>
        <w:adjustRightInd/>
        <w:snapToGrid/>
        <w:spacing w:before="0" w:after="0" w:line="600" w:lineRule="exact"/>
        <w:ind w:left="0" w:right="0" w:firstLineChars="200" w:firstLine="640"/>
        <w:jc w:val="both"/>
        <w:textAlignment w:val="auto"/>
        <w:outlineLvl w:val="0"/>
        <w:rPr>
          <w:rFonts w:ascii="黑体" w:eastAsia="黑体" w:hAnsi="黑体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bookmarkStart w:id="1" w:name="_Hlk62812079"/>
      <w:r>
        <w:rPr>
          <w:rFonts w:ascii="黑体" w:eastAsia="黑体" w:hAnsi="黑体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eastAsia="zh-CN"/>
        </w:rPr>
        <w:t>三</w:t>
      </w:r>
      <w:r>
        <w:rPr>
          <w:rFonts w:ascii="黑体" w:eastAsia="黑体" w:hAnsi="黑体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申报</w:t>
      </w:r>
      <w:r>
        <w:rPr>
          <w:rFonts w:ascii="黑体" w:eastAsia="黑体" w:hAnsi="黑体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要求</w:t>
      </w:r>
    </w:p>
    <w:p>
      <w:pPr>
        <w:wordWrap/>
        <w:adjustRightInd/>
        <w:snapToGrid/>
        <w:spacing w:before="0" w:after="0" w:line="60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（一）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项目申报单位、合作单位、项目负责人和项目组成员等，应符合《202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6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年度省级科技计划项目申报须知》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要求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Chars="200" w:firstLine="640"/>
        <w:jc w:val="both"/>
        <w:textAlignment w:val="auto"/>
        <w:outlineLvl w:val="9"/>
        <w:rPr>
          <w:rFonts w:ascii="仿宋" w:eastAsia="仿宋_GB2312" w:cs="仿宋" w:hAnsi="仿宋" w:hint="eastAsia"/>
          <w:color w:val="000000"/>
          <w:sz w:val="32"/>
          <w14:textFill>
            <w14:solidFill>
              <w14:srgbClr w14:val="000000"/>
            </w14:solidFill>
          </w14:textFill>
          <w:lang w:val="en-US" w:eastAsia="zh-CN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（二）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eastAsia="zh-CN"/>
          <w:highlight w:val="auto"/>
        </w:rPr>
        <w:t>申报项目的研究内容必须涵盖指南所列的全部研究内容和考核指标。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Chars="200" w:firstLine="640"/>
        <w:jc w:val="both"/>
        <w:textAlignment w:val="auto"/>
        <w:outlineLvl w:val="2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（三）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项目申报单位对所申报内容的真实性和项目研究的安全性负责。项目单位和项目负责人须签署承诺书作为附件上传。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Chars="200" w:firstLine="640"/>
        <w:jc w:val="both"/>
        <w:textAlignment w:val="auto"/>
        <w:outlineLvl w:val="2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（四）项目实施期限不超过３年。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Chars="200" w:firstLine="640"/>
        <w:jc w:val="both"/>
        <w:textAlignment w:val="auto"/>
        <w:outlineLvl w:val="2"/>
        <w:rPr>
          <w:rFonts w:ascii="仿宋_GB2312" w:eastAsia="仿宋_GB2312" w:cs="仿宋_GB2312" w:hAnsi="仿宋_GB2312" w:hint="eastAsia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  <w:t>（五）</w:t>
      </w:r>
      <w:r>
        <w:rPr>
          <w:rFonts w:ascii="仿宋_GB2312" w:eastAsia="仿宋_GB2312" w:cs="仿宋_GB2312" w:hAnsi="仿宋_GB2312" w:hint="eastAsia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  <w:t>实施产学研联合攻关机制，高校、科研单位须具有5年以上研究基础，企业须为行业内优势企业。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2"/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</w:rPr>
        <w:t>（六）企业牵头申报的项目，配套经费与财政经费数的比例不低于3:1，参与项目的企业，需按获得财政经费1:1配套经费。</w:t>
      </w:r>
    </w:p>
    <w:p>
      <w:pPr>
        <w:spacing w:line="600" w:lineRule="exact"/>
        <w:ind w:left="0" w:firstLineChars="200" w:firstLine="640"/>
        <w:rPr>
          <w:rFonts w:ascii="CESI仿宋-GB2312" w:eastAsia="CESI仿宋-GB2312" w:cs="CESI仿宋-GB2312" w:hAnsi="CESI仿宋-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  <w:t>（七）涉及合作单位的，</w:t>
      </w:r>
      <w:r>
        <w:rPr>
          <w:rFonts w:ascii="CESI仿宋-GB2312" w:eastAsia="CESI仿宋-GB2312" w:cs="CESI仿宋-GB2312" w:hAnsi="CESI仿宋-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应提交合作协议。合作协议应明确申报项目名称、任务分工、知识产权归属等内容，并签字盖章（公章或科研用章）。</w:t>
      </w:r>
    </w:p>
    <w:p>
      <w:pPr>
        <w:spacing w:line="600" w:lineRule="exact"/>
        <w:ind w:left="0" w:firstLineChars="200" w:firstLine="640"/>
        <w:rPr>
          <w:rFonts w:ascii="CESI仿宋-GB2312" w:eastAsia="CESI仿宋-GB2312" w:cs="CESI仿宋-GB2312" w:hAnsi="CESI仿宋-GB2312"/>
          <w:color w:val="000000"/>
          <w14:textFill>
            <w14:solidFill>
              <w14:srgbClr w14:val="000000"/>
            </w14:solidFill>
          </w14:textFill>
          <w:highlight w:val="auto"/>
        </w:rPr>
      </w:pPr>
      <w:r>
        <w:rPr>
          <w:color w:val="000000"/>
          <w:szCs w:val="40"/>
          <w14:textFill>
            <w14:solidFill>
              <w14:srgbClr w14:val="000000"/>
            </w14:solidFill>
          </w14:textFill>
          <w:highlight w:val="auto"/>
        </w:rPr>
        <w:t>（八）</w:t>
      </w:r>
      <w:r>
        <w:rPr>
          <w:rFonts w:hint="eastAsia"/>
          <w:color w:val="000000"/>
          <w:szCs w:val="40"/>
          <w14:textFill>
            <w14:solidFill>
              <w14:srgbClr w14:val="000000"/>
            </w14:solidFill>
          </w14:textFill>
          <w:highlight w:val="auto"/>
        </w:rPr>
        <w:t>不</w:t>
      </w:r>
      <w:r>
        <w:rPr>
          <w:rFonts w:ascii="CESI仿宋-GB2312" w:eastAsia="CESI仿宋-GB2312" w:cs="CESI仿宋-GB2312" w:hAnsi="CESI仿宋-GB2312" w:hint="eastAsia"/>
          <w:color w:val="000000"/>
          <w14:textFill>
            <w14:solidFill>
              <w14:srgbClr w14:val="000000"/>
            </w14:solidFill>
          </w14:textFill>
          <w:lang w:bidi="ar-SA"/>
          <w:highlight w:val="auto"/>
        </w:rPr>
        <w:t>存在重复、多头申报项目</w:t>
      </w:r>
      <w:r>
        <w:rPr>
          <w:rFonts w:ascii="CESI仿宋-GB2312" w:eastAsia="CESI仿宋-GB2312" w:cs="CESI仿宋-GB2312" w:hAnsi="CESI仿宋-GB2312" w:hint="eastAsia"/>
          <w:color w:val="000000"/>
          <w14:textFill>
            <w14:solidFill>
              <w14:srgbClr w14:val="000000"/>
            </w14:solidFill>
          </w14:textFill>
          <w:highlight w:va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9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（九）该专项实行“无纸化”申报。申报材料主要包括：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9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1.项目申报书；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9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2.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申报人和申报单位申报诚信承诺书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9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3.项目申报单位、合作单位盖章页；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9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4.申报单位与合作单位的合作协议；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outlineLvl w:val="2"/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</w:rPr>
        <w:t>5.相关附件的扫描件。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40" w:lineRule="exact"/>
        <w:ind w:left="0" w:firstLineChars="200" w:firstLine="640"/>
        <w:outlineLvl w:val="2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</w:pPr>
      <w:r>
        <w:rPr>
          <w:rFonts w:ascii="仿宋_GB2312" w:eastAsia="仿宋_GB2312" w:cs="仿宋_GB2312" w:hAnsi="仿宋_GB2312"/>
          <w:color w:val="000000"/>
          <w:sz w:val="32"/>
          <w:szCs w:val="40"/>
          <w14:textFill>
            <w14:solidFill>
              <w14:srgbClr w14:val="000000"/>
            </w14:solidFill>
          </w14:textFill>
          <w:lang w:val="en-US" w:eastAsia="zh-CN" w:bidi="ar-SA"/>
          <w:highlight w:val="auto"/>
        </w:rPr>
        <w:t>（十）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鼓励京津两地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科研机构、高等院校等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  <w:highlight w:val="auto"/>
        </w:rPr>
        <w:t>企事业单位和科研人员参加。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40" w:lineRule="exact"/>
        <w:ind w:left="0" w:firstLineChars="200" w:firstLine="640"/>
        <w:outlineLvl w:val="2"/>
        <w:rPr>
          <w:rFonts w:ascii="黑体" w:eastAsia="黑体" w:hAnsi="黑体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黑体" w:eastAsia="黑体" w:hAnsi="黑体" w:hint="eastAsia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  <w:lang w:eastAsia="zh-CN"/>
        </w:rPr>
        <w:t>四</w:t>
      </w:r>
      <w:r>
        <w:rPr>
          <w:rFonts w:ascii="黑体" w:eastAsia="黑体" w:hAnsi="黑体" w:hint="eastAsia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、</w:t>
      </w:r>
      <w:bookmarkEnd w:id="1"/>
      <w:r>
        <w:rPr>
          <w:rFonts w:ascii="黑体" w:eastAsia="黑体" w:hAnsi="黑体" w:hint="eastAsia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形式审查要点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（一）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项目申报单位、合作单位、项目负责人和项目组成员等符合《202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6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年度省级科技计划项目申报须知》要求。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（二）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项目申报书按要求填写完整、规范，承诺书、盖章页齐全。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（三）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项目申报书内容与申报指南方向相符。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（四）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按照“三、申报要求”提供相关附件。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一般包括：项目申请书、项目申报单位签字和盖章部分扫描页、申报单位与合作单位的合作协议、合作单位签字和盖章部分扫描页、承诺书签字和盖章部分齐全等其他相关附件的扫描件。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（五）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有合作单位的，按要求提供合作协议。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（六）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项目实施期限在 3 年以内。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（七）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申请的省财政资金额度符合指南要求。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hint="eastAsia"/>
          <w:color w:val="000000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（八）</w:t>
      </w:r>
      <w:r>
        <w:rPr>
          <w:rFonts w:hint="eastAsia"/>
          <w:color w:val="000000"/>
          <w14:textFill>
            <w14:solidFill>
              <w14:srgbClr w14:val="000000"/>
            </w14:solidFill>
          </w14:textFill>
        </w:rPr>
        <w:t>不存在重复、多头申报项目。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（九）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企业牵头申报的项目，自筹经费与申请省财政资助经费比例不低于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3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 xml:space="preserve">:1。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（十）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项目申报书的“总体目标和绩效指标”体现对绩效目标的全覆盖。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出现上述条件未能涵盖的特殊情况，经综合研判确定是否通过形式审查。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黑体" w:eastAsia="黑体" w:hAnsi="黑体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</w:rPr>
      </w:pPr>
      <w:r>
        <w:rPr>
          <w:rFonts w:ascii="黑体" w:eastAsia="黑体" w:hAnsi="黑体" w:hint="eastAsia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  <w:lang w:eastAsia="zh-CN"/>
        </w:rPr>
        <w:t>五</w:t>
      </w:r>
      <w:r>
        <w:rPr>
          <w:rFonts w:ascii="黑体" w:eastAsia="黑体" w:hAnsi="黑体" w:hint="eastAsia"/>
          <w:bCs/>
          <w:color w:val="000000"/>
          <w:sz w:val="32"/>
          <w:szCs w:val="32"/>
          <w14:textFill>
            <w14:solidFill>
              <w14:srgbClr w14:val="000000"/>
            </w14:solidFill>
          </w14:textFill>
        </w:rPr>
        <w:t>、咨询电话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before="0" w:after="0" w:line="540" w:lineRule="exact"/>
        <w:ind w:left="0" w:right="0" w:firstLineChars="200" w:firstLine="640"/>
        <w:jc w:val="both"/>
        <w:textAlignment w:val="auto"/>
        <w:rPr>
          <w:rFonts w:ascii="仿宋_GB2312" w:eastAsia="仿宋_GB2312" w:cs="宋体" w:hAnsi="宋体"/>
          <w:color w:val="000000"/>
          <w:kern w:val="2"/>
          <w:sz w:val="32"/>
          <w:szCs w:val="32"/>
          <w14:textFill>
            <w14:solidFill>
              <w14:srgbClr w14:val="000000"/>
            </w14:solidFill>
          </w14:textFill>
          <w:lang w:val="en-US" w:eastAsia="zh-CN" w:bidi="ar-SA"/>
        </w:rPr>
      </w:pP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省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林业和草原局</w:t>
      </w:r>
      <w:r>
        <w:rPr>
          <w:rFonts w:ascii="仿宋_GB2312" w:eastAsia="仿宋_GB2312" w:cs="仿宋_GB2312" w:hAnsi="仿宋_GB2312" w:hint="eastAsia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科学技术处  0311-</w:t>
      </w:r>
      <w:r>
        <w:rPr>
          <w:rFonts w:ascii="仿宋_GB2312" w:eastAsia="仿宋_GB2312" w:cs="仿宋_GB2312" w:hAnsi="仿宋_GB2312"/>
          <w:color w:val="000000"/>
          <w:sz w:val="32"/>
          <w:szCs w:val="32"/>
          <w14:textFill>
            <w14:solidFill>
              <w14:srgbClr w14:val="000000"/>
            </w14:solidFill>
          </w14:textFill>
          <w:lang w:val="en-US" w:eastAsia="zh-CN"/>
        </w:rPr>
        <w:t>88606026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textAlignment w:val="auto"/>
        <w:rPr>
          <w:color w:val="000000"/>
          <w14:textFill>
            <w14:solidFill>
              <w14:srgbClr w14:val="000000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textAlignment w:val="auto"/>
        <w:rPr>
          <w:color w:val="000000"/>
          <w14:textFill>
            <w14:solidFill>
              <w14:srgbClr w14:val="000000"/>
            </w14:solidFill>
          </w14:textFill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p>
      <w:pPr>
        <w:spacing w:line="580" w:lineRule="exact"/>
        <w:ind w:firstLineChars="200" w:firstLine="640"/>
        <w:rPr>
          <w:rFonts w:ascii="Times New Roman" w:hAnsi="Times New Roman"/>
        </w:rPr>
      </w:pPr>
    </w:p>
    <w:sectPr>
      <w:footerReference w:type="default" r:id="rId2"/>
      <w:footerReference w:type="even" r:id="rId3"/>
      <w:footerReference w:type="first" r:id="rId4"/>
      <w:pgSz w:w="11907" w:h="16840"/>
      <w:pgMar w:top="2098" w:right="1474" w:bottom="1985" w:left="1588" w:header="851" w:footer="992" w:gutter="0"/>
      <w:pgNumType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楷体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ESI仿宋-GB2312">
    <w:altName w:val="仿宋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19"/>
      </w:rPr>
      <w:fldChar w:fldCharType="begin"/>
    </w:r>
    <w:r>
      <w:rPr>
        <w:rStyle w:val="19"/>
      </w:rPr>
      <w:instrText>Page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</w:p>
  <w:p>
    <w:pPr>
      <w:pStyle w:val="18"/>
      <w:tabs>
        <w:tab w:val="center" w:pos="4153"/>
        <w:tab w:val="right" w:pos="8307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19"/>
      </w:rPr>
      <w:fldChar w:fldCharType="begin"/>
    </w:r>
    <w:r>
      <w:rPr>
        <w:rStyle w:val="19"/>
      </w:rPr>
      <w:instrText>Page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</w:p>
  <w:p>
    <w:pPr>
      <w:pStyle w:val="18"/>
      <w:tabs>
        <w:tab w:val="center" w:pos="4153"/>
        <w:tab w:val="right" w:pos="8307"/>
      </w:tabs>
    </w:pP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8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19"/>
      </w:rPr>
      <w:fldChar w:fldCharType="begin"/>
    </w:r>
    <w:r>
      <w:rPr>
        <w:rStyle w:val="19"/>
      </w:rPr>
      <w:instrText>Page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</w:p>
  <w:p>
    <w:pPr>
      <w:pStyle w:val="18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5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savePreviewPicture/>
  <w:compat>
    <w:balanceSingleByteDoubleByteWidth/>
    <w:ulTrailSpace/>
    <w:doNotExpandShiftReturn/>
    <w:adjustLineHeightInTable/>
    <w:useAltKinsokuLineBreakRu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仿宋_GB2312" w:eastAsia="仿宋_GB2312" w:cs="仿宋_GB2312" w:hAnsi="仿宋_GB2312"/>
      <w:bCs/>
      <w:color w:val="0D0D0D"/>
      <w:kern w:val="2"/>
      <w:sz w:val="32"/>
      <w:szCs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3"/>
    <w:basedOn w:val="0"/>
    <w:pPr>
      <w:spacing w:after="120"/>
    </w:pPr>
    <w:rPr>
      <w:sz w:val="16"/>
      <w:szCs w:val="16"/>
    </w:rPr>
  </w:style>
  <w:style w:type="paragraph" w:customStyle="1" w:styleId="16">
    <w:name w:val="样式1"/>
    <w:basedOn w:val="0"/>
    <w:next w:val="15"/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  <w:szCs w:val="18"/>
    </w:rPr>
  </w:style>
  <w:style w:type="paragraph" w:styleId="18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  <w:szCs w:val="18"/>
    </w:rPr>
  </w:style>
  <w:style w:type="character" w:styleId="19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3A271EEB-9776-44E8-840B-6C0313FD141F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8</Pages>
  <Words>0</Words>
  <Characters>2845</Characters>
  <Lines>0</Lines>
  <Paragraphs>79</Paragraphs>
  <CharactersWithSpaces>3794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Cynthia</dc:creator>
  <cp:lastModifiedBy>uos</cp:lastModifiedBy>
  <cp:revision>1</cp:revision>
  <dcterms:created xsi:type="dcterms:W3CDTF">2021-07-09T01:38:41Z</dcterms:created>
  <dcterms:modified xsi:type="dcterms:W3CDTF">2026-03-11T09:40:00Z</dcterms:modified>
</cp:coreProperties>
</file>