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FD853">
      <w:pPr>
        <w:keepNext w:val="0"/>
        <w:keepLines w:val="0"/>
        <w:pageBreakBefore w:val="0"/>
        <w:kinsoku/>
        <w:wordWrap/>
        <w:overflowPunct/>
        <w:topLinePunct w:val="0"/>
        <w:autoSpaceDE/>
        <w:bidi w:val="0"/>
        <w:spacing w:line="600" w:lineRule="exact"/>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附件1</w:t>
      </w:r>
    </w:p>
    <w:p w14:paraId="5215E54A">
      <w:pPr>
        <w:keepNext w:val="0"/>
        <w:keepLines w:val="0"/>
        <w:pageBreakBefore w:val="0"/>
        <w:kinsoku/>
        <w:wordWrap/>
        <w:overflowPunct/>
        <w:topLinePunct w:val="0"/>
        <w:autoSpaceDE/>
        <w:bidi w:val="0"/>
        <w:spacing w:line="600" w:lineRule="exact"/>
        <w:jc w:val="center"/>
        <w:textAlignment w:val="auto"/>
        <w:rPr>
          <w:rFonts w:hint="default" w:ascii="Times New Roman" w:hAnsi="Times New Roman" w:cs="Times New Roman"/>
          <w:b/>
          <w:color w:val="000000"/>
          <w:sz w:val="44"/>
          <w:szCs w:val="44"/>
        </w:rPr>
      </w:pPr>
    </w:p>
    <w:p w14:paraId="1E68B2CF">
      <w:pPr>
        <w:keepNext w:val="0"/>
        <w:keepLines w:val="0"/>
        <w:pageBreakBefore w:val="0"/>
        <w:kinsoku/>
        <w:wordWrap/>
        <w:overflowPunct/>
        <w:topLinePunct w:val="0"/>
        <w:autoSpaceDE/>
        <w:bidi w:val="0"/>
        <w:spacing w:line="600" w:lineRule="exact"/>
        <w:jc w:val="center"/>
        <w:textAlignment w:val="auto"/>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lang w:val="en-US" w:eastAsia="zh-CN"/>
        </w:rPr>
        <w:t>数字</w:t>
      </w:r>
      <w:r>
        <w:rPr>
          <w:rFonts w:hint="default" w:ascii="Times New Roman" w:hAnsi="Times New Roman" w:eastAsia="方正小标宋_GBK" w:cs="Times New Roman"/>
          <w:bCs/>
          <w:color w:val="000000"/>
          <w:sz w:val="44"/>
          <w:szCs w:val="44"/>
        </w:rPr>
        <w:t>产业创新</w:t>
      </w:r>
      <w:r>
        <w:rPr>
          <w:rFonts w:hint="default" w:ascii="Times New Roman" w:hAnsi="Times New Roman" w:eastAsia="方正小标宋_GBK" w:cs="Times New Roman"/>
          <w:bCs/>
          <w:color w:val="000000"/>
          <w:sz w:val="44"/>
          <w:szCs w:val="44"/>
          <w:lang w:eastAsia="zh-CN"/>
        </w:rPr>
        <w:t>发展</w:t>
      </w:r>
      <w:r>
        <w:rPr>
          <w:rFonts w:hint="default" w:ascii="Times New Roman" w:hAnsi="Times New Roman" w:eastAsia="方正小标宋_GBK" w:cs="Times New Roman"/>
          <w:bCs/>
          <w:color w:val="000000"/>
          <w:sz w:val="44"/>
          <w:szCs w:val="44"/>
        </w:rPr>
        <w:t>专项申报指南</w:t>
      </w:r>
    </w:p>
    <w:p w14:paraId="605B6FDF">
      <w:pPr>
        <w:keepNext w:val="0"/>
        <w:keepLines w:val="0"/>
        <w:pageBreakBefore w:val="0"/>
        <w:kinsoku/>
        <w:wordWrap/>
        <w:overflowPunct/>
        <w:topLinePunct w:val="0"/>
        <w:autoSpaceDE/>
        <w:bidi w:val="0"/>
        <w:spacing w:line="600" w:lineRule="exact"/>
        <w:ind w:firstLine="640" w:firstLineChars="200"/>
        <w:textAlignment w:val="auto"/>
        <w:outlineLvl w:val="0"/>
        <w:rPr>
          <w:rFonts w:hint="default" w:ascii="Times New Roman" w:hAnsi="Times New Roman" w:eastAsia="黑体" w:cs="Times New Roman"/>
          <w:color w:val="000000"/>
          <w:sz w:val="32"/>
          <w:szCs w:val="32"/>
        </w:rPr>
      </w:pPr>
    </w:p>
    <w:p w14:paraId="7CC8618B">
      <w:pPr>
        <w:keepNext w:val="0"/>
        <w:keepLines w:val="0"/>
        <w:pageBreakBefore w:val="0"/>
        <w:kinsoku/>
        <w:wordWrap/>
        <w:overflowPunct/>
        <w:topLinePunct w:val="0"/>
        <w:autoSpaceDE/>
        <w:bidi w:val="0"/>
        <w:spacing w:line="600" w:lineRule="exact"/>
        <w:ind w:firstLine="640" w:firstLineChars="200"/>
        <w:textAlignment w:val="auto"/>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一、总体安排</w:t>
      </w:r>
    </w:p>
    <w:p w14:paraId="0D5A9CDA">
      <w:pPr>
        <w:adjustRightInd w:val="0"/>
        <w:snapToGrid w:val="0"/>
        <w:spacing w:after="0" w:line="600" w:lineRule="exact"/>
        <w:ind w:firstLine="640" w:firstLineChars="200"/>
        <w:jc w:val="both"/>
        <w:rPr>
          <w:rFonts w:ascii="Times New Roman" w:hAnsi="Times New Roman" w:eastAsia="仿宋_GB2312" w:cs="Times New Roman"/>
          <w:sz w:val="32"/>
          <w:szCs w:val="32"/>
        </w:rPr>
      </w:pPr>
      <w:bookmarkStart w:id="0" w:name="_Hlk193540050"/>
      <w:r>
        <w:rPr>
          <w:rFonts w:hint="default" w:ascii="Times New Roman" w:hAnsi="Times New Roman" w:eastAsia="仿宋_GB2312" w:cs="Times New Roman"/>
          <w:color w:val="000000"/>
          <w:sz w:val="32"/>
          <w:szCs w:val="32"/>
        </w:rPr>
        <w:t>专项聚焦数字产业高质量发展目标，围绕产业发展亟需解决的关键共性问题，实施一批技术攻关、产业化和应用项目。</w:t>
      </w:r>
      <w:r>
        <w:rPr>
          <w:rFonts w:hint="default" w:ascii="Times New Roman" w:hAnsi="Times New Roman" w:eastAsia="仿宋_GB2312" w:cs="Times New Roman"/>
          <w:color w:val="000000"/>
          <w:sz w:val="32"/>
          <w:szCs w:val="32"/>
          <w:lang w:val="en-US" w:eastAsia="zh-CN"/>
        </w:rPr>
        <w:t>重点支持</w:t>
      </w:r>
      <w:r>
        <w:rPr>
          <w:rFonts w:hint="default" w:ascii="Times New Roman" w:hAnsi="Times New Roman" w:eastAsia="仿宋_GB2312" w:cs="Times New Roman"/>
          <w:color w:val="000000"/>
          <w:sz w:val="32"/>
          <w:szCs w:val="32"/>
        </w:rPr>
        <w:t>关键技术攻关、算力底座夯基、应用场景赋能、创新能力提升等方向，</w:t>
      </w:r>
      <w:r>
        <w:rPr>
          <w:rFonts w:hint="default" w:ascii="Times New Roman" w:hAnsi="Times New Roman" w:eastAsia="仿宋_GB2312" w:cs="Times New Roman"/>
          <w:sz w:val="32"/>
          <w:szCs w:val="32"/>
        </w:rPr>
        <w:t>推动产学研</w:t>
      </w:r>
      <w:r>
        <w:rPr>
          <w:rFonts w:hint="default" w:ascii="Times New Roman" w:hAnsi="Times New Roman" w:eastAsia="仿宋_GB2312" w:cs="Times New Roman"/>
          <w:sz w:val="32"/>
          <w:szCs w:val="32"/>
          <w:lang w:eastAsia="zh-CN"/>
        </w:rPr>
        <w:t>用</w:t>
      </w:r>
      <w:r>
        <w:rPr>
          <w:rFonts w:hint="default" w:ascii="Times New Roman" w:hAnsi="Times New Roman" w:eastAsia="仿宋_GB2312" w:cs="Times New Roman"/>
          <w:sz w:val="32"/>
          <w:szCs w:val="32"/>
        </w:rPr>
        <w:t>开展协同创新，支持科研院所、高校与企业联合攻关，解决一批</w:t>
      </w:r>
      <w:r>
        <w:rPr>
          <w:rFonts w:hint="eastAsia" w:ascii="仿宋_GB2312" w:hAnsi="仿宋_GB2312" w:eastAsia="仿宋_GB2312" w:cs="仿宋_GB2312"/>
          <w:sz w:val="32"/>
          <w:szCs w:val="32"/>
        </w:rPr>
        <w:t>“卡脖子”</w:t>
      </w:r>
      <w:r>
        <w:rPr>
          <w:rFonts w:hint="default" w:ascii="Times New Roman" w:hAnsi="Times New Roman" w:eastAsia="仿宋_GB2312" w:cs="Times New Roman"/>
          <w:sz w:val="32"/>
          <w:szCs w:val="32"/>
        </w:rPr>
        <w:t>问题，提升我省在数字化产业领域的技术创新能力和竞争力。</w:t>
      </w:r>
    </w:p>
    <w:bookmarkEnd w:id="0"/>
    <w:p w14:paraId="6D71DC1C">
      <w:pPr>
        <w:keepNext w:val="0"/>
        <w:keepLines w:val="0"/>
        <w:pageBreakBefore w:val="0"/>
        <w:kinsoku/>
        <w:wordWrap/>
        <w:overflowPunct/>
        <w:topLinePunct w:val="0"/>
        <w:autoSpaceDE/>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每个指南代码支持1-</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个项目，项目实施周期不超过3年。</w:t>
      </w:r>
    </w:p>
    <w:p w14:paraId="1EB36A90">
      <w:pPr>
        <w:keepNext w:val="0"/>
        <w:keepLines w:val="0"/>
        <w:pageBreakBefore w:val="0"/>
        <w:widowControl w:val="0"/>
        <w:kinsoku/>
        <w:wordWrap/>
        <w:overflowPunct/>
        <w:topLinePunct w:val="0"/>
        <w:autoSpaceDE/>
        <w:bidi w:val="0"/>
        <w:spacing w:line="60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二、支持重点</w:t>
      </w:r>
    </w:p>
    <w:p w14:paraId="5E0F2924">
      <w:pPr>
        <w:pageBreakBefore w:val="0"/>
        <w:widowControl w:val="0"/>
        <w:kinsoku/>
        <w:wordWrap/>
        <w:overflowPunct w:val="0"/>
        <w:topLinePunct w:val="0"/>
        <w:autoSpaceDE/>
        <w:autoSpaceDN/>
        <w:bidi w:val="0"/>
        <w:spacing w:after="0" w:line="560" w:lineRule="exact"/>
        <w:ind w:left="0" w:leftChars="0" w:firstLine="640" w:firstLineChars="200"/>
        <w:jc w:val="both"/>
        <w:textAlignment w:val="auto"/>
        <w:rPr>
          <w:rFonts w:hint="eastAsia" w:ascii="楷体" w:hAnsi="楷体" w:eastAsia="楷体" w:cs="楷体"/>
          <w:color w:val="auto"/>
          <w:sz w:val="32"/>
          <w:szCs w:val="32"/>
          <w:lang w:val="en-US" w:eastAsia="zh-CN"/>
        </w:rPr>
      </w:pPr>
      <w:bookmarkStart w:id="1" w:name="_Hlk62812079"/>
      <w:r>
        <w:rPr>
          <w:rFonts w:hint="eastAsia" w:ascii="楷体" w:hAnsi="楷体" w:eastAsia="楷体" w:cs="楷体"/>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楷体" w:hAnsi="楷体" w:eastAsia="楷体" w:cs="楷体"/>
          <w:color w:val="auto"/>
          <w:sz w:val="32"/>
          <w:szCs w:val="32"/>
          <w:lang w:val="en-US" w:eastAsia="zh-CN"/>
        </w:rPr>
        <w:t>算力资源池化、调度与运营</w:t>
      </w:r>
    </w:p>
    <w:p w14:paraId="24EA55F8">
      <w:pPr>
        <w:pageBreakBefore w:val="0"/>
        <w:widowControl w:val="0"/>
        <w:kinsoku/>
        <w:wordWrap/>
        <w:overflowPunct w:val="0"/>
        <w:topLinePunct w:val="0"/>
        <w:autoSpaceDE/>
        <w:autoSpaceDN/>
        <w:bidi w:val="0"/>
        <w:spacing w:after="0"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面向异构算力，研究跨架构智能调度技术，实现按任务类型和策略的灵活高效调度。构建覆盖硬件、虚拟化到平台层的全栈可视化管理与自动化运维体系，实现资源全生命周期精细管控。研发集成监控、计量计费、服务交付与安全管控的一体化运营支撑平台。</w:t>
      </w:r>
    </w:p>
    <w:p w14:paraId="7339B353">
      <w:pPr>
        <w:pageBreakBefore w:val="0"/>
        <w:widowControl w:val="0"/>
        <w:kinsoku/>
        <w:wordWrap/>
        <w:overflowPunct w:val="0"/>
        <w:topLinePunct w:val="0"/>
        <w:autoSpaceDE/>
        <w:autoSpaceDN/>
        <w:bidi w:val="0"/>
        <w:spacing w:after="0"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绩效指标：①支持通算、智算、超算融合调度，提供多站点、多策略（时延/算力/成本优先）的智能调度能力；②接入多元算力资源池，实现资源纳管、同步及物理设备统一管理；③提供多元算力服务的定价、计量计费与数据汇聚，支持多维度统计分析。</w:t>
      </w:r>
    </w:p>
    <w:p w14:paraId="5AF580D6">
      <w:pPr>
        <w:pageBreakBefore w:val="0"/>
        <w:widowControl w:val="0"/>
        <w:kinsoku/>
        <w:wordWrap/>
        <w:overflowPunct w:val="0"/>
        <w:topLinePunct w:val="0"/>
        <w:autoSpaceDE/>
        <w:autoSpaceDN/>
        <w:bidi w:val="0"/>
        <w:spacing w:after="0" w:line="560" w:lineRule="exact"/>
        <w:ind w:left="0"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2．算电协同智能调度与交易平台</w:t>
      </w:r>
    </w:p>
    <w:p w14:paraId="4F7D3C85">
      <w:pPr>
        <w:pageBreakBefore w:val="0"/>
        <w:widowControl w:val="0"/>
        <w:kinsoku/>
        <w:wordWrap/>
        <w:overflowPunct w:val="0"/>
        <w:topLinePunct w:val="0"/>
        <w:autoSpaceDE/>
        <w:autoSpaceDN/>
        <w:bidi w:val="0"/>
        <w:spacing w:after="0"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融合新能源功率、气象、电力市场与算力负载等多源数据，构建分钟级“源-网-荷-储”协同调度模型；研发兼顾绿电消纳最大化与用电成本最优的多目标求解算法；建设“资源－调度－交易”一体化平台，在智算中心+新能源场景开展全链路验证。</w:t>
      </w:r>
      <w:r>
        <w:rPr>
          <w:rFonts w:hint="eastAsia" w:ascii="Times New Roman" w:hAnsi="Times New Roman" w:eastAsia="仿宋_GB2312" w:cs="Times New Roman"/>
          <w:color w:val="auto"/>
          <w:sz w:val="32"/>
          <w:szCs w:val="32"/>
          <w:lang w:val="en-US" w:eastAsia="zh-CN"/>
        </w:rPr>
        <w:br w:type="textWrapping"/>
      </w:r>
      <w:r>
        <w:rPr>
          <w:rFonts w:hint="eastAsia" w:ascii="Times New Roman" w:hAnsi="Times New Roman" w:eastAsia="仿宋_GB2312" w:cs="Times New Roman"/>
          <w:color w:val="auto"/>
          <w:sz w:val="32"/>
          <w:szCs w:val="32"/>
          <w:lang w:val="en-US" w:eastAsia="zh-CN"/>
        </w:rPr>
        <w:t xml:space="preserve">   绩效指标：①构建算电协同智能调度与交易平台原型，覆盖五层核心功能；②新能源与算力负载预测精度≥85%，协同响应延迟&lt;1分钟；③智算中心绿电消纳率≥90%，园区用电成本降低≥5%；④申请发明专利≥3件，编制标准草案1项，完成全链条业务验证。</w:t>
      </w:r>
    </w:p>
    <w:p w14:paraId="2240867E">
      <w:pPr>
        <w:pageBreakBefore w:val="0"/>
        <w:widowControl w:val="0"/>
        <w:kinsoku/>
        <w:wordWrap/>
        <w:overflowPunct w:val="0"/>
        <w:topLinePunct w:val="0"/>
        <w:autoSpaceDE/>
        <w:autoSpaceDN/>
        <w:bidi w:val="0"/>
        <w:spacing w:after="0" w:line="560" w:lineRule="exact"/>
        <w:ind w:left="0"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3．绿色算力碳减排技术创新应用</w:t>
      </w:r>
    </w:p>
    <w:p w14:paraId="77A8ADEA">
      <w:pPr>
        <w:pageBreakBefore w:val="0"/>
        <w:widowControl w:val="0"/>
        <w:kinsoku/>
        <w:wordWrap/>
        <w:overflowPunct w:val="0"/>
        <w:topLinePunct w:val="0"/>
        <w:autoSpaceDE/>
        <w:autoSpaceDN/>
        <w:bidi w:val="0"/>
        <w:spacing w:after="0"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研究内容：构建覆盖算力设施全生命周期的碳排放精细化模型，推动算力、电力、碳排数据融合；研发“算－电－碳”多维协同的数字孪生管理系统；建立包含算效、负载率、PUE等19项指标的绿色算力评估体系。</w:t>
      </w:r>
      <w:r>
        <w:rPr>
          <w:rFonts w:hint="eastAsia" w:ascii="Times New Roman" w:hAnsi="Times New Roman" w:eastAsia="仿宋_GB2312" w:cs="Times New Roman"/>
          <w:color w:val="auto"/>
          <w:sz w:val="32"/>
          <w:szCs w:val="32"/>
          <w:lang w:val="en-US" w:eastAsia="zh-CN"/>
        </w:rPr>
        <w:br w:type="textWrapping"/>
      </w:r>
      <w:r>
        <w:rPr>
          <w:rFonts w:hint="eastAsia" w:ascii="Times New Roman" w:hAnsi="Times New Roman" w:eastAsia="仿宋_GB2312" w:cs="Times New Roman"/>
          <w:color w:val="auto"/>
          <w:sz w:val="32"/>
          <w:szCs w:val="32"/>
          <w:lang w:val="en-US" w:eastAsia="zh-CN"/>
        </w:rPr>
        <w:t xml:space="preserve">    绩效指标：①构建“算－电－碳”耦合优化模型与智慧化数字孪生系统；②建立覆盖全周期的碳核算与绿色算力评估体系；③实现算效&gt;19.85GFlops/W、PUE&lt;1</w:t>
      </w:r>
      <w:bookmarkStart w:id="2" w:name="_GoBack"/>
      <w:bookmarkEnd w:id="2"/>
      <w:r>
        <w:rPr>
          <w:rFonts w:hint="eastAsia" w:ascii="Times New Roman" w:hAnsi="Times New Roman" w:eastAsia="仿宋_GB2312" w:cs="Times New Roman"/>
          <w:color w:val="auto"/>
          <w:sz w:val="32"/>
          <w:szCs w:val="32"/>
          <w:lang w:val="en-US" w:eastAsia="zh-CN"/>
        </w:rPr>
        <w:t>.15、碳利用效率&lt;0.5等核心指标达标；④支撑绿色算力等级评定与绿色金融对接，形成闭环应用范式。</w:t>
      </w:r>
    </w:p>
    <w:p w14:paraId="28546680">
      <w:pPr>
        <w:pageBreakBefore w:val="0"/>
        <w:widowControl w:val="0"/>
        <w:kinsoku/>
        <w:wordWrap/>
        <w:overflowPunct w:val="0"/>
        <w:topLinePunct w:val="0"/>
        <w:autoSpaceDE/>
        <w:autoSpaceDN/>
        <w:bidi w:val="0"/>
        <w:spacing w:after="0" w:line="560" w:lineRule="exact"/>
        <w:ind w:left="0"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4．AI模型迁移机制与泛化性能优化</w:t>
      </w:r>
    </w:p>
    <w:p w14:paraId="5999E690">
      <w:pPr>
        <w:pageBreakBefore w:val="0"/>
        <w:widowControl w:val="0"/>
        <w:kinsoku/>
        <w:wordWrap/>
        <w:overflowPunct w:val="0"/>
        <w:topLinePunct w:val="0"/>
        <w:autoSpaceDE/>
        <w:autoSpaceDN/>
        <w:bidi w:val="0"/>
        <w:spacing w:after="0"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研究内容：研发参数高效迁移算法与跨硬件模型适配中间件，降低模型迁移成本；提升多模态融合效率与跨领域知识复用能力，构建知识图谱与迁移学习融合框架，突破行业间模型迁移的知识鸿沟。</w:t>
      </w:r>
      <w:r>
        <w:rPr>
          <w:rFonts w:hint="eastAsia" w:ascii="Times New Roman" w:hAnsi="Times New Roman" w:eastAsia="仿宋_GB2312" w:cs="Times New Roman"/>
          <w:color w:val="auto"/>
          <w:sz w:val="32"/>
          <w:szCs w:val="32"/>
          <w:lang w:val="en-US" w:eastAsia="zh-CN"/>
        </w:rPr>
        <w:br w:type="textWrapping"/>
      </w:r>
      <w:r>
        <w:rPr>
          <w:rFonts w:hint="eastAsia" w:ascii="Times New Roman" w:hAnsi="Times New Roman" w:eastAsia="仿宋_GB2312" w:cs="Times New Roman"/>
          <w:color w:val="auto"/>
          <w:sz w:val="32"/>
          <w:szCs w:val="32"/>
          <w:lang w:val="en-US" w:eastAsia="zh-CN"/>
        </w:rPr>
        <w:t xml:space="preserve">    绩效指标：①研发轻量化模型迁移套件，支持跨架构快速映射与精度校准；②兼容开源与闭源大模型的迁移适配；③在智能工厂、智慧医疗、智慧城市等场景实现迁移准确率≥80%；④攻克跨模态知识融合与领域自适应2项关键技术。</w:t>
      </w:r>
    </w:p>
    <w:p w14:paraId="49CC2B7B">
      <w:pPr>
        <w:pageBreakBefore w:val="0"/>
        <w:widowControl w:val="0"/>
        <w:kinsoku/>
        <w:wordWrap/>
        <w:overflowPunct w:val="0"/>
        <w:topLinePunct w:val="0"/>
        <w:autoSpaceDE/>
        <w:autoSpaceDN/>
        <w:bidi w:val="0"/>
        <w:spacing w:after="0" w:line="560" w:lineRule="exact"/>
        <w:ind w:left="0"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5．可信数据空间区域节点跨域协同技术</w:t>
      </w:r>
    </w:p>
    <w:p w14:paraId="28CE5392">
      <w:pPr>
        <w:pageBreakBefore w:val="0"/>
        <w:widowControl w:val="0"/>
        <w:kinsoku/>
        <w:wordWrap/>
        <w:overflowPunct w:val="0"/>
        <w:topLinePunct w:val="0"/>
        <w:autoSpaceDE/>
        <w:autoSpaceDN/>
        <w:bidi w:val="0"/>
        <w:spacing w:after="0"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研究内容：依据国家“三统一”原则（身份认证、数据目录、接口规范），攻关区域功能节点跨域对接技术；完善身份互通与数据编目标准；构建测试验证体系与长效运维机制，支撑京津冀等区域数据要素流通。</w:t>
      </w:r>
      <w:r>
        <w:rPr>
          <w:rFonts w:hint="eastAsia" w:ascii="Times New Roman" w:hAnsi="Times New Roman" w:eastAsia="仿宋_GB2312" w:cs="Times New Roman"/>
          <w:color w:val="auto"/>
          <w:sz w:val="32"/>
          <w:szCs w:val="32"/>
          <w:lang w:val="en-US" w:eastAsia="zh-CN"/>
        </w:rPr>
        <w:br w:type="textWrapping"/>
      </w:r>
      <w:r>
        <w:rPr>
          <w:rFonts w:hint="eastAsia" w:ascii="Times New Roman" w:hAnsi="Times New Roman" w:eastAsia="仿宋_GB2312" w:cs="Times New Roman"/>
          <w:color w:val="auto"/>
          <w:sz w:val="32"/>
          <w:szCs w:val="32"/>
          <w:lang w:val="en-US" w:eastAsia="zh-CN"/>
        </w:rPr>
        <w:t xml:space="preserve">    绩效指标：①建成符合国家“三统一”要求的区域功能节点，支持跨主体安全核验与共享；②完成至少1个跨区域业务场景的端到端对接验证；③形成标准化、可复用的区域节点对接机制与技术方案；④支撑政务服务或产业协同等实际业务落地。</w:t>
      </w:r>
    </w:p>
    <w:p w14:paraId="0152D6E7">
      <w:pPr>
        <w:pageBreakBefore w:val="0"/>
        <w:widowControl w:val="0"/>
        <w:kinsoku/>
        <w:wordWrap/>
        <w:overflowPunct w:val="0"/>
        <w:topLinePunct w:val="0"/>
        <w:autoSpaceDE/>
        <w:autoSpaceDN/>
        <w:bidi w:val="0"/>
        <w:spacing w:after="0" w:line="560" w:lineRule="exact"/>
        <w:ind w:left="0"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6．国产AI大算力端侧具身机器人芯片</w:t>
      </w:r>
    </w:p>
    <w:p w14:paraId="178022BE">
      <w:pPr>
        <w:pageBreakBefore w:val="0"/>
        <w:widowControl w:val="0"/>
        <w:kinsoku/>
        <w:wordWrap/>
        <w:overflowPunct w:val="0"/>
        <w:topLinePunct w:val="0"/>
        <w:autoSpaceDE/>
        <w:autoSpaceDN/>
        <w:bidi w:val="0"/>
        <w:spacing w:after="0"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研究内容：攻克3DDRAM先进封装与SIMT架构AI计算引擎，实现高带宽存算一体；优化指令调度与能效比，支持千亿参数模型高速推理；依托全国产工艺完成流片与封测，确保全流程自主可控。</w:t>
      </w:r>
      <w:r>
        <w:rPr>
          <w:rFonts w:hint="eastAsia" w:ascii="Times New Roman" w:hAnsi="Times New Roman" w:eastAsia="仿宋_GB2312" w:cs="Times New Roman"/>
          <w:color w:val="auto"/>
          <w:sz w:val="32"/>
          <w:szCs w:val="32"/>
          <w:lang w:val="en-US" w:eastAsia="zh-CN"/>
        </w:rPr>
        <w:br w:type="textWrapping"/>
      </w:r>
      <w:r>
        <w:rPr>
          <w:rFonts w:hint="eastAsia" w:ascii="Times New Roman" w:hAnsi="Times New Roman" w:eastAsia="仿宋_GB2312" w:cs="Times New Roman"/>
          <w:color w:val="auto"/>
          <w:sz w:val="32"/>
          <w:szCs w:val="32"/>
          <w:lang w:val="en-US" w:eastAsia="zh-CN"/>
        </w:rPr>
        <w:t xml:space="preserve">    绩效指标：①单芯片INT8算力≥500TOPS；②访存带宽≥3.0TB/s，内存容量≥40GB；③支持千亿级参数模型端侧推理；④面向智能体的推理性能优化，构建自主可控SIMT通用AI计算平台；⑤实现IP设计、制造、封测全流程国产化。</w:t>
      </w:r>
    </w:p>
    <w:p w14:paraId="0D4322B6">
      <w:pPr>
        <w:pageBreakBefore w:val="0"/>
        <w:widowControl w:val="0"/>
        <w:kinsoku/>
        <w:wordWrap/>
        <w:overflowPunct w:val="0"/>
        <w:topLinePunct w:val="0"/>
        <w:autoSpaceDE/>
        <w:autoSpaceDN/>
        <w:bidi w:val="0"/>
        <w:spacing w:after="0" w:line="560" w:lineRule="exact"/>
        <w:ind w:left="0" w:leftChars="0" w:firstLine="640" w:firstLineChars="200"/>
        <w:jc w:val="both"/>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7．钢铁行业全域智能体与AISOC智能安全运营关键技术攻关</w:t>
      </w:r>
    </w:p>
    <w:p w14:paraId="2656AD02">
      <w:pPr>
        <w:pageBreakBefore w:val="0"/>
        <w:widowControl w:val="0"/>
        <w:numPr>
          <w:ilvl w:val="0"/>
          <w:numId w:val="0"/>
        </w:numPr>
        <w:kinsoku/>
        <w:wordWrap/>
        <w:overflowPunct w:val="0"/>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面向钢铁行业智能化转型需求，研发适配复杂制造场景的共性AI算法与机理模型，构建“大模型+小模型+智能体”协同决策体系；打造覆盖企业管理、市场营销、制造流程、产品研发、绿色低碳五维度的全域智能体平台。同时以AISOC大模型安全运营为技术路线，重构钢铁行业安全运营全链路，通过人机协同平衡安全与业务，实现精准降噪提效、分钟级威胁闭环、合规自动化等可量化的效能跃升。</w:t>
      </w:r>
    </w:p>
    <w:p w14:paraId="5279FD69">
      <w:pPr>
        <w:pageBreakBefore w:val="0"/>
        <w:widowControl w:val="0"/>
        <w:numPr>
          <w:ilvl w:val="0"/>
          <w:numId w:val="0"/>
        </w:numPr>
        <w:kinsoku/>
        <w:wordWrap/>
        <w:overflowPunct w:val="0"/>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绩效指标：①构建一体化智能体平台，支持不少于10个AI场景的统一调度与动态迭代；②研发不少于20个场景专用模型，形成不少于10个人工智能解决方案；③在制造流程维度实现排程时间缩短30%、设备故障预警准确率≥90%；④在绿色低碳维度实现能耗强度下降2%、碳核算准确率≥90%。⑤实现威胁精准检测、分钟级响应与合规闭环、秒级封禁数据泄露威胁，对有效威胁检出率100%，反欺诈检测率≥90%，内部威胁识别准确率≥90%。</w:t>
      </w:r>
    </w:p>
    <w:p w14:paraId="17686DF8">
      <w:pPr>
        <w:pageBreakBefore w:val="0"/>
        <w:widowControl w:val="0"/>
        <w:kinsoku/>
        <w:wordWrap/>
        <w:overflowPunct w:val="0"/>
        <w:topLinePunct w:val="0"/>
        <w:autoSpaceDE/>
        <w:autoSpaceDN/>
        <w:bidi w:val="0"/>
        <w:spacing w:after="0" w:line="560" w:lineRule="exact"/>
        <w:ind w:left="0"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8．基于大模型的高速公路车流量与道路风险预警技术</w:t>
      </w:r>
    </w:p>
    <w:p w14:paraId="7B0B5101">
      <w:pPr>
        <w:pageBreakBefore w:val="0"/>
        <w:widowControl w:val="0"/>
        <w:kinsoku/>
        <w:wordWrap/>
        <w:overflowPunct w:val="0"/>
        <w:topLinePunct w:val="0"/>
        <w:autoSpaceDE/>
        <w:autoSpaceDN/>
        <w:bidi w:val="0"/>
        <w:spacing w:after="0"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融合多源异构数据（包括车流、天气、事故、路面状态等），结合交通流理论与大模型技术，构建自主可控的车流量预测与道路风险联合预警大模型；重点针对河北山区高速公路冬季覆冰场景，利用超光谱与视觉融合感知手段，挖掘路面–水汽–温湿风等多模态特征关联，优化模型输入特征与推理算法，开发低延迟、高可靠的一体化预警系统。</w:t>
      </w:r>
    </w:p>
    <w:p w14:paraId="013BED43">
      <w:pPr>
        <w:pageBreakBefore w:val="0"/>
        <w:widowControl w:val="0"/>
        <w:kinsoku/>
        <w:wordWrap/>
        <w:overflowPunct w:val="0"/>
        <w:topLinePunct w:val="0"/>
        <w:autoSpaceDE/>
        <w:autoSpaceDN/>
        <w:bidi w:val="0"/>
        <w:spacing w:after="0"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绩效指标：①车流量预测误差≤10%，精度≥90%；②高速公路或国道缺陷类型识别精度100%，山火、大雾、大风风险的异常识别精度95%；③预警响应时间≤30分钟，系统全流程刷新时延&lt;15分钟，可用性&gt;99%；④完成2条以上高速公路路段规模化验证，减少人工巡检95%、无人机巡检50%；⑤形成具备自主知识产权的核心算法模型1项，申请专利≥3项。</w:t>
      </w:r>
    </w:p>
    <w:p w14:paraId="6EE1E0BF">
      <w:pPr>
        <w:keepNext w:val="0"/>
        <w:keepLines w:val="0"/>
        <w:pageBreakBefore w:val="0"/>
        <w:kinsoku/>
        <w:wordWrap/>
        <w:overflowPunct/>
        <w:topLinePunct w:val="0"/>
        <w:autoSpaceDE/>
        <w:bidi w:val="0"/>
        <w:spacing w:line="600" w:lineRule="exact"/>
        <w:ind w:firstLine="640" w:firstLineChars="200"/>
        <w:textAlignment w:val="auto"/>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三、申报要求</w:t>
      </w:r>
    </w:p>
    <w:p w14:paraId="7CA3D5B1">
      <w:pPr>
        <w:keepNext w:val="0"/>
        <w:keepLines w:val="0"/>
        <w:pageBreakBefore w:val="0"/>
        <w:kinsoku/>
        <w:wordWrap/>
        <w:overflowPunct/>
        <w:topLinePunct w:val="0"/>
        <w:autoSpaceDE/>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项目申报单位、合作单位、项目负责人和项目组成员等，应符合《202</w:t>
      </w: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年度省级科技计划项目申报须知》。</w:t>
      </w:r>
    </w:p>
    <w:p w14:paraId="023C3F36">
      <w:pPr>
        <w:keepNext w:val="0"/>
        <w:keepLines w:val="0"/>
        <w:pageBreakBefore w:val="0"/>
        <w:kinsoku/>
        <w:wordWrap/>
        <w:overflowPunct/>
        <w:topLinePunct w:val="0"/>
        <w:autoSpaceDE/>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原则上以企业为主体申报，鼓励优势企业联合我省及京津高校院所合作共同开展技术攻关和成果转化。</w:t>
      </w:r>
    </w:p>
    <w:p w14:paraId="7495FBAA">
      <w:pPr>
        <w:keepNext w:val="0"/>
        <w:keepLines w:val="0"/>
        <w:pageBreakBefore w:val="0"/>
        <w:kinsoku/>
        <w:wordWrap/>
        <w:overflowPunct/>
        <w:topLinePunct w:val="0"/>
        <w:autoSpaceDE/>
        <w:bidi w:val="0"/>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3</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自筹资金与省财政资助经费不低于3:1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Cs/>
          <w:kern w:val="2"/>
          <w:sz w:val="32"/>
          <w:szCs w:val="32"/>
          <w:highlight w:val="none"/>
        </w:rPr>
        <w:t>每个项目支持</w:t>
      </w:r>
      <w:r>
        <w:rPr>
          <w:rFonts w:hint="default" w:ascii="Times New Roman" w:hAnsi="Times New Roman" w:eastAsia="仿宋_GB2312" w:cs="Times New Roman"/>
          <w:bCs/>
          <w:kern w:val="2"/>
          <w:sz w:val="32"/>
          <w:szCs w:val="32"/>
          <w:highlight w:val="none"/>
          <w:lang w:eastAsia="zh-CN"/>
        </w:rPr>
        <w:t>资金不超过</w:t>
      </w:r>
      <w:r>
        <w:rPr>
          <w:rFonts w:hint="eastAsia" w:eastAsia="仿宋_GB2312" w:cs="Times New Roman"/>
          <w:bCs/>
          <w:kern w:val="2"/>
          <w:sz w:val="32"/>
          <w:szCs w:val="32"/>
          <w:highlight w:val="none"/>
          <w:lang w:val="en-US" w:eastAsia="zh-CN"/>
        </w:rPr>
        <w:t>2</w:t>
      </w:r>
      <w:r>
        <w:rPr>
          <w:rFonts w:hint="default" w:ascii="Times New Roman" w:hAnsi="Times New Roman" w:eastAsia="仿宋_GB2312" w:cs="Times New Roman"/>
          <w:bCs/>
          <w:kern w:val="2"/>
          <w:sz w:val="32"/>
          <w:szCs w:val="32"/>
          <w:highlight w:val="none"/>
        </w:rPr>
        <w:t>00万元</w:t>
      </w:r>
      <w:r>
        <w:rPr>
          <w:rFonts w:hint="default" w:ascii="Times New Roman" w:hAnsi="Times New Roman" w:eastAsia="仿宋_GB2312" w:cs="Times New Roman"/>
          <w:color w:val="000000"/>
          <w:sz w:val="32"/>
          <w:szCs w:val="32"/>
          <w:lang w:eastAsia="zh-CN"/>
        </w:rPr>
        <w:t>。</w:t>
      </w:r>
    </w:p>
    <w:p w14:paraId="76456C29">
      <w:pPr>
        <w:keepNext w:val="0"/>
        <w:keepLines w:val="0"/>
        <w:pageBreakBefore w:val="0"/>
        <w:widowControl/>
        <w:kinsoku/>
        <w:wordWrap/>
        <w:overflowPunct/>
        <w:topLinePunct w:val="0"/>
        <w:autoSpaceDE/>
        <w:autoSpaceDN w:val="0"/>
        <w:bidi w:val="0"/>
        <w:spacing w:line="60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四、形式审查要点</w:t>
      </w:r>
    </w:p>
    <w:p w14:paraId="250C4657">
      <w:pPr>
        <w:keepNext w:val="0"/>
        <w:keepLines w:val="0"/>
        <w:pageBreakBefore w:val="0"/>
        <w:kinsoku/>
        <w:wordWrap/>
        <w:overflowPunct/>
        <w:topLinePunct w:val="0"/>
        <w:autoSpaceDE/>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是否符合国家、河北省产业发展规划和有关法律、法规、政策等。</w:t>
      </w:r>
    </w:p>
    <w:p w14:paraId="02DD46CB">
      <w:pPr>
        <w:keepNext w:val="0"/>
        <w:keepLines w:val="0"/>
        <w:pageBreakBefore w:val="0"/>
        <w:kinsoku/>
        <w:wordWrap/>
        <w:overflowPunct/>
        <w:topLinePunct w:val="0"/>
        <w:autoSpaceDE/>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是否符合申报指南支持重点，研究内容与指南代码是否一致。</w:t>
      </w:r>
    </w:p>
    <w:p w14:paraId="2B5F9850">
      <w:pPr>
        <w:keepNext w:val="0"/>
        <w:keepLines w:val="0"/>
        <w:pageBreakBefore w:val="0"/>
        <w:kinsoku/>
        <w:wordWrap/>
        <w:overflowPunct/>
        <w:topLinePunct w:val="0"/>
        <w:autoSpaceDE/>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项目申报单位、合作单位、项目负责人和项目组成员是否符合《202</w:t>
      </w: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年度省级科技计划项目申报须知》明确的基本条件。</w:t>
      </w:r>
    </w:p>
    <w:p w14:paraId="25606243">
      <w:pPr>
        <w:keepNext w:val="0"/>
        <w:keepLines w:val="0"/>
        <w:pageBreakBefore w:val="0"/>
        <w:kinsoku/>
        <w:wordWrap/>
        <w:overflowPunct/>
        <w:topLinePunct w:val="0"/>
        <w:autoSpaceDE/>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是否存在重复、多头申报项目。</w:t>
      </w:r>
    </w:p>
    <w:p w14:paraId="6D8BB3A4">
      <w:pPr>
        <w:keepNext w:val="0"/>
        <w:keepLines w:val="0"/>
        <w:pageBreakBefore w:val="0"/>
        <w:kinsoku/>
        <w:wordWrap/>
        <w:overflowPunct/>
        <w:topLinePunct w:val="0"/>
        <w:autoSpaceDE/>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项目申报材料是否规范、完整、齐全。一般包括：项目申请书、项目申报单位签字和盖章部分扫描页、申报单位与合作单位的合作协议、合作单位签字和盖章部分扫描页、承诺书签字和盖章部分齐全等其他相关附件的扫描件。</w:t>
      </w:r>
    </w:p>
    <w:p w14:paraId="5EF8D4EA">
      <w:pPr>
        <w:keepNext w:val="0"/>
        <w:keepLines w:val="0"/>
        <w:pageBreakBefore w:val="0"/>
        <w:kinsoku/>
        <w:wordWrap/>
        <w:overflowPunct/>
        <w:topLinePunct w:val="0"/>
        <w:autoSpaceDE/>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是否存在科研诚信、社会失信等情况。</w:t>
      </w:r>
    </w:p>
    <w:p w14:paraId="16341B5B">
      <w:pPr>
        <w:keepNext w:val="0"/>
        <w:keepLines w:val="0"/>
        <w:pageBreakBefore w:val="0"/>
        <w:kinsoku/>
        <w:wordWrap/>
        <w:overflowPunct/>
        <w:topLinePunct w:val="0"/>
        <w:autoSpaceDE/>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出现上述未能涵盖的特殊情况，经综合研判确定是否通过形式审查。</w:t>
      </w:r>
    </w:p>
    <w:p w14:paraId="594529F5">
      <w:pPr>
        <w:keepNext w:val="0"/>
        <w:keepLines w:val="0"/>
        <w:pageBreakBefore w:val="0"/>
        <w:kinsoku/>
        <w:wordWrap/>
        <w:overflowPunct/>
        <w:topLinePunct w:val="0"/>
        <w:autoSpaceDE/>
        <w:bidi w:val="0"/>
        <w:spacing w:line="60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五、咨询电话</w:t>
      </w:r>
    </w:p>
    <w:p w14:paraId="2144251F">
      <w:pPr>
        <w:keepNext w:val="0"/>
        <w:keepLines w:val="0"/>
        <w:pageBreakBefore w:val="0"/>
        <w:kinsoku/>
        <w:wordWrap/>
        <w:overflowPunct/>
        <w:topLinePunct w:val="0"/>
        <w:autoSpaceDE/>
        <w:bidi w:val="0"/>
        <w:spacing w:line="600" w:lineRule="exact"/>
        <w:ind w:firstLine="640" w:firstLineChars="200"/>
        <w:textAlignment w:val="auto"/>
        <w:rPr>
          <w:rFonts w:hint="default" w:ascii="Times New Roman" w:hAnsi="Times New Roman" w:cs="Times New Roman"/>
          <w:color w:val="000000"/>
        </w:rPr>
      </w:pPr>
      <w:r>
        <w:rPr>
          <w:rFonts w:hint="default" w:ascii="Times New Roman" w:hAnsi="Times New Roman" w:eastAsia="仿宋_GB2312" w:cs="Times New Roman"/>
          <w:color w:val="000000"/>
          <w:sz w:val="32"/>
          <w:szCs w:val="32"/>
        </w:rPr>
        <w:t>省发展改革委 创新和高技术发展处  0311-886000</w:t>
      </w:r>
      <w:r>
        <w:rPr>
          <w:rFonts w:hint="default" w:ascii="Times New Roman" w:hAnsi="Times New Roman" w:eastAsia="仿宋_GB2312" w:cs="Times New Roman"/>
          <w:color w:val="000000"/>
          <w:sz w:val="32"/>
          <w:szCs w:val="32"/>
          <w:lang w:val="en-US" w:eastAsia="zh-CN"/>
        </w:rPr>
        <w:t>44</w:t>
      </w:r>
      <w:bookmarkEnd w:id="1"/>
    </w:p>
    <w:sectPr>
      <w:footerReference r:id="rId3" w:type="default"/>
      <w:pgSz w:w="11906" w:h="16838"/>
      <w:pgMar w:top="2098" w:right="1417" w:bottom="1417" w:left="1417"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21">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_GB2312">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E1C80">
    <w:pPr>
      <w:pStyle w:val="4"/>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57785" cy="131445"/>
                      </a:xfrm>
                      <a:prstGeom prst="rect">
                        <a:avLst/>
                      </a:prstGeom>
                      <a:noFill/>
                      <a:ln>
                        <a:noFill/>
                      </a:ln>
                    </wps:spPr>
                    <wps:txbx>
                      <w:txbxContent>
                        <w:p w14:paraId="5D8E0669">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VFj9W0QAAAAIBAAAPAAAAAAAAAAEAIAAAACIAAABkcnMvZG93bnJldi54&#10;bWxQSwECFAAUAAAACACHTuJADJlS7sgBAACMAwAADgAAAAAAAAABACAAAAAgAQAAZHJzL2Uyb0Rv&#10;Yy54bWxQSwUGAAAAAAYABgBZAQAAWgUAAAAA&#10;">
              <v:fill on="f" focussize="0,0"/>
              <v:stroke on="f"/>
              <v:imagedata o:title=""/>
              <o:lock v:ext="edit" aspectratio="f"/>
              <v:textbox inset="0mm,0mm,0mm,0mm" style="mso-fit-shape-to-text:t;">
                <w:txbxContent>
                  <w:p w14:paraId="5D8E0669">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893D1D"/>
    <w:rsid w:val="1E116CA0"/>
    <w:rsid w:val="3C3433AC"/>
    <w:rsid w:val="3FBE1C93"/>
    <w:rsid w:val="4892067C"/>
    <w:rsid w:val="6C016692"/>
    <w:rsid w:val="73C3E4CD"/>
    <w:rsid w:val="B38B075B"/>
    <w:rsid w:val="DEAF1B1A"/>
    <w:rsid w:val="F37BE215"/>
    <w:rsid w:val="F5FB1BD8"/>
    <w:rsid w:val="FD7F875C"/>
    <w:rsid w:val="FFB50CA7"/>
    <w:rsid w:val="FFED3D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jc w:val="left"/>
    </w:pPr>
    <w:rPr>
      <w:kern w:val="0"/>
      <w:sz w:val="24"/>
    </w:rPr>
  </w:style>
  <w:style w:type="paragraph" w:styleId="9">
    <w:name w:val="Body Text First Indent"/>
    <w:basedOn w:val="3"/>
    <w:unhideWhenUsed/>
    <w:qFormat/>
    <w:uiPriority w:val="99"/>
    <w:pPr>
      <w:ind w:firstLine="420" w:firstLineChars="100"/>
    </w:pPr>
    <w:rPr>
      <w:rFonts w:ascii="Times New Roman" w:hAnsi="Times New Roman"/>
    </w:rPr>
  </w:style>
  <w:style w:type="paragraph" w:styleId="10">
    <w:name w:val="Body Text First Indent 2"/>
    <w:basedOn w:val="5"/>
    <w:qFormat/>
    <w:uiPriority w:val="0"/>
    <w:pPr>
      <w:ind w:firstLine="420"/>
    </w:pPr>
  </w:style>
  <w:style w:type="character" w:styleId="13">
    <w:name w:val="page number"/>
    <w:basedOn w:val="12"/>
    <w:qFormat/>
    <w:uiPriority w:val="0"/>
  </w:style>
  <w:style w:type="paragraph" w:customStyle="1" w:styleId="14">
    <w:name w:val="Default"/>
    <w:qFormat/>
    <w:uiPriority w:val="0"/>
    <w:pPr>
      <w:widowControl w:val="0"/>
      <w:autoSpaceDE w:val="0"/>
      <w:autoSpaceDN w:val="0"/>
      <w:adjustRightInd w:val="0"/>
    </w:pPr>
    <w:rPr>
      <w:rFonts w:ascii="??_GB2312" w:hAnsi="Calibri" w:eastAsia="Times New Roman" w:cs="Times New Roman"/>
      <w:sz w:val="24"/>
      <w:szCs w:val="22"/>
      <w:lang w:val="en-US" w:eastAsia="zh-CN" w:bidi="ar-SA"/>
    </w:rPr>
  </w:style>
  <w:style w:type="paragraph" w:customStyle="1" w:styleId="15">
    <w:name w:val="WPSOffice手动目录 1"/>
    <w:qFormat/>
    <w:uiPriority w:val="0"/>
    <w:rPr>
      <w:rFonts w:ascii="Calibri" w:hAnsi="Calibri" w:eastAsia="宋体" w:cs="黑体"/>
      <w:lang w:val="en-US" w:eastAsia="zh-CN" w:bidi="ar-SA"/>
    </w:rPr>
  </w:style>
  <w:style w:type="paragraph" w:customStyle="1" w:styleId="16">
    <w:name w:val="列出段落1"/>
    <w:basedOn w:val="1"/>
    <w:qFormat/>
    <w:uiPriority w:val="34"/>
    <w:pPr>
      <w:ind w:firstLine="420" w:firstLineChars="200"/>
    </w:pPr>
  </w:style>
  <w:style w:type="paragraph" w:customStyle="1" w:styleId="17">
    <w:name w:val="p0"/>
    <w:basedOn w:val="1"/>
    <w:qFormat/>
    <w:uiPriority w:val="0"/>
    <w:rPr>
      <w:rFonts w:hint="eastAsia"/>
      <w:kern w:val="0"/>
      <w:szCs w:val="21"/>
    </w:rPr>
  </w:style>
  <w:style w:type="paragraph" w:customStyle="1" w:styleId="18">
    <w:name w:val="p17"/>
    <w:basedOn w:val="1"/>
    <w:qFormat/>
    <w:uiPriority w:val="0"/>
    <w:pPr>
      <w:spacing w:after="120"/>
      <w:ind w:left="420" w:firstLine="420"/>
    </w:pPr>
    <w:rPr>
      <w:rFonts w:hint="eastAsia"/>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2678</Words>
  <Characters>2834</Characters>
  <Lines>19</Lines>
  <Paragraphs>5</Paragraphs>
  <TotalTime>3</TotalTime>
  <ScaleCrop>false</ScaleCrop>
  <LinksUpToDate>false</LinksUpToDate>
  <CharactersWithSpaces>2856</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2025-04-29T02:40:00Z</dcterms:created>
  <dc:creator>liyanli</dc:creator>
  <cp:lastModifiedBy>LG128</cp:lastModifiedBy>
  <cp:lastPrinted>2024-09-01T20:19:00Z</cp:lastPrinted>
  <dcterms:modified xsi:type="dcterms:W3CDTF">2026-03-13T15:56:23Z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BA77F5BF3E5CC5E327C3B3691157C2D0_43</vt:lpwstr>
  </property>
  <property fmtid="{D5CDD505-2E9C-101B-9397-08002B2CF9AE}" pid="4" name="KSOTemplateDocerSaveRecord">
    <vt:lpwstr>eyJoZGlkIjoiMzNmMzM2NGQ4N2Q2NDNmMjU4ZWI3NzdhZTAwNzk3YzAiLCJ1c2VySWQiOiIyOTcxOTE4MzEifQ==</vt:lpwstr>
  </property>
</Properties>
</file>