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附件7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center"/>
        <w:textAlignment w:val="auto"/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36"/>
          <w:szCs w:val="36"/>
          <w:lang w:val="en-US" w:eastAsia="zh-CN"/>
        </w:rPr>
        <w:t>石家庄学院重点</w:t>
      </w:r>
      <w: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  <w:t>学科</w:t>
      </w:r>
      <w:r>
        <w:rPr>
          <w:rFonts w:hint="eastAsia" w:eastAsia="方正小标宋简体" w:cs="Times New Roman"/>
          <w:sz w:val="36"/>
          <w:szCs w:val="36"/>
          <w:lang w:val="en-US" w:eastAsia="zh-CN"/>
        </w:rPr>
        <w:t>立项</w:t>
      </w:r>
      <w:bookmarkStart w:id="0" w:name="_GoBack"/>
      <w:bookmarkEnd w:id="0"/>
      <w: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  <w:t>建设规划撰写</w:t>
      </w:r>
      <w:r>
        <w:rPr>
          <w:rFonts w:hint="eastAsia" w:eastAsia="方正小标宋简体" w:cs="Times New Roman"/>
          <w:sz w:val="36"/>
          <w:szCs w:val="36"/>
          <w:lang w:val="en-US" w:eastAsia="zh-CN"/>
        </w:rPr>
        <w:t>参考提纲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Style w:val="7"/>
          <w:rFonts w:hint="default" w:ascii="Times New Roman" w:hAnsi="Times New Roman" w:eastAsia="仿宋" w:cs="Times New Roman"/>
          <w:b w:val="0"/>
          <w:bCs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【撰写说明：</w:t>
      </w:r>
      <w:r>
        <w:rPr>
          <w:rStyle w:val="7"/>
          <w:rFonts w:hint="eastAsia" w:ascii="Times New Roman" w:hAnsi="Times New Roman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重点学科建设</w:t>
      </w:r>
      <w:r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规划围绕</w:t>
      </w:r>
      <w:r>
        <w:rPr>
          <w:rStyle w:val="7"/>
          <w:rFonts w:hint="eastAsia" w:ascii="Times New Roman" w:hAnsi="Times New Roman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下列</w:t>
      </w:r>
      <w:r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九项内容进行制定</w:t>
      </w:r>
      <w:r>
        <w:rPr>
          <w:rStyle w:val="7"/>
          <w:rFonts w:hint="eastAsia" w:ascii="Times New Roman" w:hAnsi="Times New Roman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。文中结构层次序数应按“一”、 “（一）”分级规范排列标注。</w:t>
      </w:r>
      <w:r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一级标题采用三号黑体，二级标题采用四号黑体，正文采用四号仿宋字体并首行缩进2字符。</w:t>
      </w:r>
      <w:r>
        <w:rPr>
          <w:rStyle w:val="7"/>
          <w:rFonts w:hint="eastAsia" w:ascii="Times New Roman" w:hAnsi="Times New Roman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使用word默认页边距</w:t>
      </w:r>
      <w:r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（上下分别2.54 cm，左右分别3.18 cm）</w:t>
      </w:r>
      <w:r>
        <w:rPr>
          <w:rStyle w:val="7"/>
          <w:rFonts w:hint="eastAsia" w:ascii="Times New Roman" w:hAnsi="Times New Roman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，1.5倍行距。</w:t>
      </w:r>
      <w:r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填写时请删除蓝色字体部分。】</w:t>
      </w:r>
    </w:p>
    <w:p>
      <w:pPr>
        <w:numPr>
          <w:ilvl w:val="0"/>
          <w:numId w:val="1"/>
        </w:numPr>
        <w:rPr>
          <w:rStyle w:val="7"/>
          <w:rFonts w:hint="eastAsia" w:ascii="黑体" w:hAnsi="黑体" w:eastAsia="黑体" w:cs="黑体"/>
          <w:b w:val="0"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Style w:val="7"/>
          <w:rFonts w:hint="eastAsia" w:ascii="黑体" w:hAnsi="黑体" w:eastAsia="黑体" w:cs="黑体"/>
          <w:b w:val="0"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设置意义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Style w:val="7"/>
          <w:rFonts w:hint="default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从学科对人才培养、科学研究、社会服务、知识创新、国际交流合作等提升学校综合办学实力方面进行填写。</w:t>
      </w:r>
    </w:p>
    <w:p>
      <w:pPr>
        <w:numPr>
          <w:ilvl w:val="0"/>
          <w:numId w:val="1"/>
        </w:numPr>
        <w:rPr>
          <w:rFonts w:hint="eastAsia" w:ascii="黑体" w:hAnsi="黑体" w:eastAsia="黑体" w:cs="黑体"/>
          <w:sz w:val="32"/>
          <w:szCs w:val="32"/>
        </w:rPr>
      </w:pPr>
      <w:r>
        <w:rPr>
          <w:rStyle w:val="7"/>
          <w:rFonts w:hint="eastAsia" w:ascii="黑体" w:hAnsi="黑体" w:eastAsia="黑体" w:cs="黑体"/>
          <w:b w:val="0"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建设目标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textAlignment w:val="auto"/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建设基础：简述学科建设的基础；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建设目标：建设高水平学科的主要建设思路；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（三）建设举措：建设周期内建设目标，包括总体目标和年度目标两部分。既要有定性目标，也要有定量目标；既要有学科建设水平的总体目标，又要有核心指标的分项目标，分项目标要与后续建设任务目标相统一。</w:t>
      </w:r>
    </w:p>
    <w:p>
      <w:pPr>
        <w:numPr>
          <w:ilvl w:val="0"/>
          <w:numId w:val="1"/>
        </w:numPr>
        <w:rPr>
          <w:rFonts w:hint="eastAsia" w:ascii="黑体" w:hAnsi="黑体" w:eastAsia="黑体" w:cs="黑体"/>
          <w:sz w:val="32"/>
          <w:szCs w:val="32"/>
        </w:rPr>
      </w:pPr>
      <w:r>
        <w:rPr>
          <w:rStyle w:val="7"/>
          <w:rFonts w:hint="eastAsia" w:ascii="黑体" w:hAnsi="黑体" w:eastAsia="黑体" w:cs="黑体"/>
          <w:b w:val="0"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主要研究方向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textAlignment w:val="auto"/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建设基础：本学科建设现状，包含研究方向设置、主要服务领域、支撑本学科的专业情况等；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建设目标：建设周期内学科方向调整优化，分总体目标和年度目标两部分；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（三）建设举措：为实现目标采取的主要措施，包括培育新兴交叉学科方向、本科专业建设规划、结构调整等。</w:t>
      </w:r>
    </w:p>
    <w:p>
      <w:pPr>
        <w:numPr>
          <w:ilvl w:val="0"/>
          <w:numId w:val="1"/>
        </w:numPr>
        <w:rPr>
          <w:rFonts w:hint="eastAsia" w:ascii="黑体" w:hAnsi="黑体" w:eastAsia="黑体" w:cs="黑体"/>
          <w:sz w:val="32"/>
          <w:szCs w:val="32"/>
        </w:rPr>
      </w:pPr>
      <w:r>
        <w:rPr>
          <w:rStyle w:val="7"/>
          <w:rFonts w:hint="eastAsia" w:ascii="黑体" w:hAnsi="黑体" w:eastAsia="黑体" w:cs="黑体"/>
          <w:b w:val="0"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学科团队建设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textAlignment w:val="auto"/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建设基础：本学科团队现状，包含带头人情况，团队成员数量、水平、结构等；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建设目标：建设周期内学科团队建设目标，包含骨干教师</w:t>
      </w:r>
      <w:r>
        <w:rPr>
          <w:rStyle w:val="7"/>
          <w:rFonts w:hint="default" w:ascii="Times New Roman" w:hAnsi="Times New Roman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培养、学科团队成员结构比例建设，分为总体目标和年度目标两部分</w:t>
      </w:r>
      <w:r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textAlignment w:val="auto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（三）建设举措：为实现目标采取的主要措施，主要指骨干老师培养方面。</w:t>
      </w:r>
    </w:p>
    <w:p>
      <w:pPr>
        <w:numPr>
          <w:ilvl w:val="0"/>
          <w:numId w:val="1"/>
        </w:numPr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Style w:val="7"/>
          <w:rFonts w:hint="default" w:ascii="Times New Roman" w:hAnsi="Times New Roman" w:eastAsia="黑体" w:cs="Times New Roman"/>
          <w:b w:val="0"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基础设施条件建设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textAlignment w:val="auto"/>
        <w:rPr>
          <w:rFonts w:hint="eastAsia" w:eastAsia="仿宋" w:cs="Times New Roman"/>
          <w:color w:val="0000FF"/>
          <w:sz w:val="28"/>
          <w:szCs w:val="28"/>
          <w:highlight w:val="none"/>
          <w:lang w:val="en-US" w:eastAsia="zh-CN"/>
        </w:rPr>
      </w:pPr>
      <w:r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建设基础：</w:t>
      </w:r>
      <w:r>
        <w:rPr>
          <w:rStyle w:val="7"/>
          <w:rFonts w:hint="default" w:ascii="Times New Roman" w:hAnsi="Times New Roman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本学科的</w:t>
      </w:r>
      <w:r>
        <w:rPr>
          <w:rFonts w:hint="default" w:ascii="Times New Roman" w:hAnsi="Times New Roman" w:eastAsia="仿宋" w:cs="Times New Roman"/>
          <w:color w:val="0000FF"/>
          <w:sz w:val="28"/>
          <w:szCs w:val="28"/>
          <w:highlight w:val="none"/>
          <w:lang w:val="en-US" w:eastAsia="zh-CN"/>
        </w:rPr>
        <w:t>重点实验室、基地、中心等平台现状</w:t>
      </w:r>
      <w:r>
        <w:rPr>
          <w:rFonts w:hint="eastAsia" w:eastAsia="仿宋" w:cs="Times New Roman"/>
          <w:color w:val="0000FF"/>
          <w:sz w:val="28"/>
          <w:szCs w:val="28"/>
          <w:highlight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eastAsia="仿宋" w:cs="Times New Roman"/>
          <w:color w:val="0000FF"/>
          <w:sz w:val="28"/>
          <w:szCs w:val="28"/>
          <w:highlight w:val="none"/>
          <w:lang w:val="en-US" w:eastAsia="zh-CN"/>
        </w:rPr>
      </w:pPr>
      <w:r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建设目标：</w:t>
      </w:r>
      <w:r>
        <w:rPr>
          <w:rFonts w:hint="eastAsia" w:ascii="Times New Roman" w:hAnsi="Times New Roman" w:eastAsia="仿宋" w:cs="Times New Roman"/>
          <w:color w:val="0000FF"/>
          <w:sz w:val="28"/>
          <w:szCs w:val="28"/>
          <w:highlight w:val="none"/>
          <w:lang w:val="en-US" w:eastAsia="zh-CN"/>
        </w:rPr>
        <w:t>建设周期内基础设施条件建设目标，包含高水平教学平台、科研平台等建设目标，分为总体目标和年度目标两部分</w:t>
      </w:r>
      <w:r>
        <w:rPr>
          <w:rFonts w:hint="eastAsia" w:eastAsia="仿宋" w:cs="Times New Roman"/>
          <w:color w:val="0000FF"/>
          <w:sz w:val="28"/>
          <w:szCs w:val="28"/>
          <w:highlight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textAlignment w:val="auto"/>
        <w:rPr>
          <w:rFonts w:hint="default" w:ascii="Times New Roman" w:hAnsi="Times New Roman" w:eastAsia="仿宋" w:cs="Times New Roman"/>
          <w:color w:val="0000FF"/>
          <w:sz w:val="28"/>
          <w:szCs w:val="28"/>
        </w:rPr>
      </w:pPr>
      <w:r>
        <w:rPr>
          <w:rFonts w:hint="eastAsia" w:eastAsia="仿宋" w:cs="Times New Roman"/>
          <w:color w:val="0000FF"/>
          <w:sz w:val="28"/>
          <w:szCs w:val="28"/>
          <w:highlight w:val="none"/>
          <w:lang w:val="en-US" w:eastAsia="zh-CN"/>
        </w:rPr>
        <w:t>（三）</w:t>
      </w:r>
      <w:r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建设举措：</w:t>
      </w:r>
      <w:r>
        <w:rPr>
          <w:rFonts w:hint="eastAsia" w:eastAsia="仿宋" w:cs="Times New Roman"/>
          <w:color w:val="0000FF"/>
          <w:sz w:val="28"/>
          <w:szCs w:val="28"/>
          <w:highlight w:val="none"/>
          <w:lang w:val="en-US" w:eastAsia="zh-CN"/>
        </w:rPr>
        <w:t>为提高基础设施条件采取的主要措施。</w:t>
      </w:r>
    </w:p>
    <w:p>
      <w:pPr>
        <w:numPr>
          <w:ilvl w:val="0"/>
          <w:numId w:val="1"/>
        </w:numPr>
        <w:rPr>
          <w:rFonts w:hint="eastAsia" w:ascii="黑体" w:hAnsi="黑体" w:eastAsia="黑体" w:cs="黑体"/>
          <w:sz w:val="32"/>
          <w:szCs w:val="32"/>
        </w:rPr>
      </w:pPr>
      <w:r>
        <w:rPr>
          <w:rStyle w:val="7"/>
          <w:rFonts w:hint="eastAsia" w:ascii="黑体" w:hAnsi="黑体" w:eastAsia="黑体" w:cs="黑体"/>
          <w:b w:val="0"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人才培养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建设基础：本学科人才培养的现状，包含课程思政建设、人才规模、结构、质量、各类成果以及高质量就业和升学情况等。包括研究生和本科生培养；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（二）建设目标：建设周期内课程思政建设目标、人才培养规模、结构、学科竞赛获奖情况、高质量就业和升学、高水平教学成果等建设目标，分为总体目标和年度目标两部分；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Style w:val="7"/>
          <w:rFonts w:hint="default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（三）建设举措：为人才培养采取的措施，包括课程思政建设、人才培养、学科竞赛成果培育等，模式改革、创新创业教育、教育教学改革研究等。</w:t>
      </w:r>
    </w:p>
    <w:p>
      <w:pPr>
        <w:numPr>
          <w:ilvl w:val="0"/>
          <w:numId w:val="1"/>
        </w:numPr>
        <w:rPr>
          <w:rFonts w:hint="eastAsia" w:ascii="黑体" w:hAnsi="黑体" w:eastAsia="黑体" w:cs="黑体"/>
          <w:sz w:val="32"/>
          <w:szCs w:val="32"/>
        </w:rPr>
      </w:pPr>
      <w:r>
        <w:rPr>
          <w:rStyle w:val="7"/>
          <w:rFonts w:hint="eastAsia" w:ascii="黑体" w:hAnsi="黑体" w:eastAsia="黑体" w:cs="黑体"/>
          <w:b w:val="0"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科学研究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建设基础：本学科现有高水平科研项目、代表性科研成果及获奖情况、与行业企业联合开展科研攻关与技术研发情况等；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建设目标：建设周期内高水平科研平台、科研项目（含横向课题）、高质量科研成果及转化应用等建设目标，分为总体目标和年度目标两部分；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建设举措：为实现科学研究目标采取的措施，包括科研方向凝练、科研机制创新、科研项目、科研成果、科研获奖、国内外学术交流、经费引进及科研资源配置等。</w:t>
      </w:r>
    </w:p>
    <w:p>
      <w:pPr>
        <w:numPr>
          <w:ilvl w:val="0"/>
          <w:numId w:val="1"/>
        </w:numPr>
        <w:rPr>
          <w:rFonts w:hint="eastAsia" w:ascii="黑体" w:hAnsi="黑体" w:eastAsia="黑体" w:cs="黑体"/>
          <w:sz w:val="32"/>
          <w:szCs w:val="32"/>
        </w:rPr>
      </w:pPr>
      <w:r>
        <w:rPr>
          <w:rStyle w:val="7"/>
          <w:rFonts w:hint="eastAsia" w:ascii="黑体" w:hAnsi="黑体" w:eastAsia="黑体" w:cs="黑体"/>
          <w:b w:val="0"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经费使用计划</w:t>
      </w:r>
    </w:p>
    <w:tbl>
      <w:tblPr>
        <w:tblStyle w:val="5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998"/>
        <w:gridCol w:w="2772"/>
        <w:gridCol w:w="1815"/>
        <w:gridCol w:w="21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  <w:jc w:val="center"/>
        </w:trPr>
        <w:tc>
          <w:tcPr>
            <w:tcW w:w="439" w:type="pct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cs="Times New Roman"/>
                <w:color w:val="0000FF"/>
                <w:sz w:val="24"/>
                <w:szCs w:val="24"/>
                <w:lang w:val="en-US" w:eastAsia="zh-CN"/>
              </w:rPr>
              <w:t>年度</w:t>
            </w:r>
          </w:p>
        </w:tc>
        <w:tc>
          <w:tcPr>
            <w:tcW w:w="585" w:type="pct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cs="Times New Roman"/>
                <w:color w:val="0000FF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626" w:type="pct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  <w:t>支出</w:t>
            </w:r>
            <w:r>
              <w:rPr>
                <w:rFonts w:hint="eastAsia" w:eastAsia="仿宋" w:cs="Times New Roman"/>
                <w:color w:val="0000FF"/>
                <w:sz w:val="24"/>
                <w:szCs w:val="24"/>
                <w:lang w:val="en-US" w:eastAsia="zh-CN"/>
              </w:rPr>
              <w:t>项</w:t>
            </w:r>
            <w:r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  <w:t>目</w:t>
            </w:r>
            <w:r>
              <w:rPr>
                <w:rFonts w:hint="eastAsia" w:eastAsia="仿宋" w:cs="Times New Roman"/>
                <w:color w:val="0000FF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  <w:t>含自筹经费</w:t>
            </w:r>
            <w:r>
              <w:rPr>
                <w:rFonts w:hint="eastAsia" w:eastAsia="仿宋" w:cs="Times New Roman"/>
                <w:color w:val="0000FF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065" w:type="pct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  <w:t>金额</w:t>
            </w:r>
            <w:r>
              <w:rPr>
                <w:rFonts w:hint="eastAsia" w:eastAsia="仿宋" w:cs="Times New Roman"/>
                <w:color w:val="0000FF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  <w:t>万元</w:t>
            </w:r>
            <w:r>
              <w:rPr>
                <w:rFonts w:hint="eastAsia" w:eastAsia="仿宋" w:cs="Times New Roman"/>
                <w:color w:val="0000FF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82" w:type="pct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  <w:t>计算根据及理由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39" w:type="pct"/>
            <w:vMerge w:val="restart"/>
            <w:tcBorders>
              <w:top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cs="Times New Roman"/>
                <w:color w:val="0000FF"/>
                <w:sz w:val="24"/>
                <w:szCs w:val="24"/>
                <w:lang w:val="en-US" w:eastAsia="zh-CN"/>
              </w:rPr>
              <w:t>2024</w:t>
            </w:r>
          </w:p>
        </w:tc>
        <w:tc>
          <w:tcPr>
            <w:tcW w:w="585" w:type="pct"/>
            <w:tcBorders>
              <w:top w:val="single" w:color="auto" w:sz="12" w:space="0"/>
            </w:tcBorders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eastAsia" w:ascii="Times New Roman" w:hAnsi="Times New Roman" w:eastAsia="仿宋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FF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26" w:type="pct"/>
            <w:tcBorders>
              <w:top w:val="single" w:color="auto" w:sz="12" w:space="0"/>
            </w:tcBorders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1065" w:type="pct"/>
            <w:tcBorders>
              <w:top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color="auto" w:sz="12" w:space="0"/>
            </w:tcBorders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  <w:jc w:val="center"/>
        </w:trPr>
        <w:tc>
          <w:tcPr>
            <w:tcW w:w="439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585" w:type="pct"/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eastAsia" w:ascii="Times New Roman" w:hAnsi="Times New Roman" w:eastAsia="仿宋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FF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26" w:type="pct"/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1065" w:type="pct"/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128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39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585" w:type="pct"/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FF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26" w:type="pct"/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1065" w:type="pct"/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128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39" w:type="pct"/>
            <w:vMerge w:val="continue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585" w:type="pct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eastAsia" w:ascii="Times New Roman" w:hAnsi="Times New Roman" w:eastAsia="仿宋" w:cs="Times New Roman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FF"/>
                <w:sz w:val="24"/>
                <w:szCs w:val="24"/>
                <w:lang w:eastAsia="zh-CN"/>
              </w:rPr>
              <w:t>……</w:t>
            </w:r>
          </w:p>
        </w:tc>
        <w:tc>
          <w:tcPr>
            <w:tcW w:w="1626" w:type="pct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eastAsia" w:ascii="Times New Roman" w:hAnsi="Times New Roman" w:eastAsia="仿宋" w:cs="Times New Roman"/>
                <w:color w:val="0000FF"/>
                <w:sz w:val="24"/>
                <w:szCs w:val="24"/>
                <w:lang w:eastAsia="zh-CN"/>
              </w:rPr>
            </w:pPr>
          </w:p>
        </w:tc>
        <w:tc>
          <w:tcPr>
            <w:tcW w:w="1065" w:type="pct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1282" w:type="pct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39" w:type="pct"/>
            <w:vMerge w:val="restart"/>
            <w:tcBorders>
              <w:top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cs="Times New Roman"/>
                <w:color w:val="0000FF"/>
                <w:sz w:val="24"/>
                <w:szCs w:val="24"/>
                <w:lang w:val="en-US" w:eastAsia="zh-CN"/>
              </w:rPr>
              <w:t>2025</w:t>
            </w:r>
          </w:p>
        </w:tc>
        <w:tc>
          <w:tcPr>
            <w:tcW w:w="585" w:type="pct"/>
            <w:tcBorders>
              <w:top w:val="single" w:color="auto" w:sz="12" w:space="0"/>
            </w:tcBorders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eastAsia" w:ascii="Times New Roman" w:hAnsi="Times New Roman" w:eastAsia="仿宋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FF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26" w:type="pct"/>
            <w:tcBorders>
              <w:top w:val="single" w:color="auto" w:sz="12" w:space="0"/>
            </w:tcBorders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1065" w:type="pct"/>
            <w:tcBorders>
              <w:top w:val="single" w:color="auto" w:sz="12" w:space="0"/>
            </w:tcBorders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39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585" w:type="pct"/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eastAsia" w:ascii="Times New Roman" w:hAnsi="Times New Roman" w:eastAsia="仿宋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FF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26" w:type="pct"/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1065" w:type="pct"/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128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39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585" w:type="pct"/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FF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26" w:type="pct"/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1065" w:type="pct"/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128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39" w:type="pct"/>
            <w:vMerge w:val="continue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585" w:type="pct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eastAsia" w:ascii="Times New Roman" w:hAnsi="Times New Roman" w:eastAsia="仿宋" w:cs="Times New Roman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FF"/>
                <w:sz w:val="24"/>
                <w:szCs w:val="24"/>
                <w:lang w:eastAsia="zh-CN"/>
              </w:rPr>
              <w:t>……</w:t>
            </w:r>
          </w:p>
        </w:tc>
        <w:tc>
          <w:tcPr>
            <w:tcW w:w="1626" w:type="pct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eastAsia" w:ascii="Times New Roman" w:hAnsi="Times New Roman" w:eastAsia="仿宋" w:cs="Times New Roman"/>
                <w:color w:val="0000FF"/>
                <w:sz w:val="24"/>
                <w:szCs w:val="24"/>
                <w:lang w:eastAsia="zh-CN"/>
              </w:rPr>
            </w:pPr>
          </w:p>
        </w:tc>
        <w:tc>
          <w:tcPr>
            <w:tcW w:w="1065" w:type="pct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1282" w:type="pct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39" w:type="pct"/>
            <w:vMerge w:val="restart"/>
            <w:tcBorders>
              <w:top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 w:cs="Times New Roman"/>
                <w:color w:val="0000FF"/>
                <w:sz w:val="24"/>
                <w:szCs w:val="24"/>
                <w:lang w:val="en-US" w:eastAsia="zh-CN"/>
              </w:rPr>
              <w:t>2026</w:t>
            </w:r>
          </w:p>
        </w:tc>
        <w:tc>
          <w:tcPr>
            <w:tcW w:w="585" w:type="pct"/>
            <w:tcBorders>
              <w:top w:val="single" w:color="auto" w:sz="12" w:space="0"/>
            </w:tcBorders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eastAsia" w:ascii="Times New Roman" w:hAnsi="Times New Roman" w:eastAsia="仿宋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FF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26" w:type="pct"/>
            <w:tcBorders>
              <w:top w:val="single" w:color="auto" w:sz="12" w:space="0"/>
            </w:tcBorders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1065" w:type="pct"/>
            <w:tcBorders>
              <w:top w:val="single" w:color="auto" w:sz="12" w:space="0"/>
            </w:tcBorders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39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585" w:type="pct"/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eastAsia" w:ascii="Times New Roman" w:hAnsi="Times New Roman" w:eastAsia="仿宋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FF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26" w:type="pct"/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1065" w:type="pct"/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128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39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585" w:type="pct"/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FF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26" w:type="pct"/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1065" w:type="pct"/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128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39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585" w:type="pct"/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eastAsia" w:ascii="Times New Roman" w:hAnsi="Times New Roman" w:eastAsia="仿宋" w:cs="Times New Roman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FF"/>
                <w:sz w:val="24"/>
                <w:szCs w:val="24"/>
                <w:lang w:eastAsia="zh-CN"/>
              </w:rPr>
              <w:t>……</w:t>
            </w:r>
          </w:p>
        </w:tc>
        <w:tc>
          <w:tcPr>
            <w:tcW w:w="1626" w:type="pct"/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eastAsia" w:ascii="Times New Roman" w:hAnsi="Times New Roman" w:eastAsia="仿宋" w:cs="Times New Roman"/>
                <w:color w:val="0000FF"/>
                <w:sz w:val="24"/>
                <w:szCs w:val="24"/>
                <w:lang w:eastAsia="zh-CN"/>
              </w:rPr>
            </w:pPr>
          </w:p>
        </w:tc>
        <w:tc>
          <w:tcPr>
            <w:tcW w:w="1065" w:type="pct"/>
            <w:noWrap w:val="0"/>
            <w:vAlign w:val="center"/>
          </w:tcPr>
          <w:p>
            <w:pPr>
              <w:pStyle w:val="4"/>
              <w:spacing w:before="0" w:beforeAutospacing="0" w:after="0" w:afterAutospacing="0"/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  <w:tc>
          <w:tcPr>
            <w:tcW w:w="1282" w:type="pc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FF"/>
                <w:sz w:val="24"/>
                <w:szCs w:val="24"/>
              </w:rPr>
            </w:pPr>
          </w:p>
        </w:tc>
      </w:tr>
    </w:tbl>
    <w:p>
      <w:pPr>
        <w:numPr>
          <w:ilvl w:val="0"/>
          <w:numId w:val="1"/>
        </w:numPr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Style w:val="7"/>
          <w:rFonts w:hint="eastAsia" w:ascii="黑体" w:hAnsi="黑体" w:eastAsia="黑体" w:cs="黑体"/>
          <w:b w:val="0"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管理制度建设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Style w:val="7"/>
          <w:rFonts w:hint="default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Style w:val="7"/>
          <w:rFonts w:hint="eastAsia" w:eastAsia="仿宋" w:cs="Times New Roman"/>
          <w:b w:val="0"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FFFFF"/>
          <w:lang w:val="en-US" w:eastAsia="zh-CN"/>
        </w:rPr>
        <w:t>主要从学科的设置与调整、学科团队建设、科学研究、社会服务、知识创新、科研经费管理、学科团队管理等制度建设方面填写。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3198646-CA71-4847-9481-64346798B03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E702DBE-FB27-4CFF-9167-C3F62E37E9A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4E6ADB1A-1A88-40DF-B508-8BC0A1E550C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2C2C09"/>
    <w:multiLevelType w:val="singleLevel"/>
    <w:tmpl w:val="842C2C0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FED6EF4"/>
    <w:multiLevelType w:val="singleLevel"/>
    <w:tmpl w:val="AFED6EF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4579194"/>
    <w:multiLevelType w:val="singleLevel"/>
    <w:tmpl w:val="D457919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B0C025E"/>
    <w:multiLevelType w:val="singleLevel"/>
    <w:tmpl w:val="0B0C025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222DA855"/>
    <w:multiLevelType w:val="singleLevel"/>
    <w:tmpl w:val="222DA85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23A2128E"/>
    <w:multiLevelType w:val="singleLevel"/>
    <w:tmpl w:val="23A2128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4CC1D88F"/>
    <w:multiLevelType w:val="singleLevel"/>
    <w:tmpl w:val="4CC1D88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wOTkxYzdkMjhmYmU4ZWI2NmJmZDIzZTZmNmIzYmMifQ=="/>
  </w:docVars>
  <w:rsids>
    <w:rsidRoot w:val="00000000"/>
    <w:rsid w:val="012C2953"/>
    <w:rsid w:val="014D7C17"/>
    <w:rsid w:val="0491497C"/>
    <w:rsid w:val="04E672BC"/>
    <w:rsid w:val="056B769E"/>
    <w:rsid w:val="06175254"/>
    <w:rsid w:val="074D0A2F"/>
    <w:rsid w:val="082A2F0D"/>
    <w:rsid w:val="08AF5C17"/>
    <w:rsid w:val="0E0B5A42"/>
    <w:rsid w:val="0F2A5FF8"/>
    <w:rsid w:val="115B394B"/>
    <w:rsid w:val="116C6D9B"/>
    <w:rsid w:val="11D37E37"/>
    <w:rsid w:val="11FA2661"/>
    <w:rsid w:val="120945EA"/>
    <w:rsid w:val="12D270D2"/>
    <w:rsid w:val="13D84274"/>
    <w:rsid w:val="141D612B"/>
    <w:rsid w:val="14B545B5"/>
    <w:rsid w:val="158C6BA6"/>
    <w:rsid w:val="16585B40"/>
    <w:rsid w:val="17944956"/>
    <w:rsid w:val="188F5AFB"/>
    <w:rsid w:val="18B01839"/>
    <w:rsid w:val="18E76A3B"/>
    <w:rsid w:val="19FB0CBC"/>
    <w:rsid w:val="1A400DC5"/>
    <w:rsid w:val="1ABD2416"/>
    <w:rsid w:val="1B3721C8"/>
    <w:rsid w:val="1C057BD0"/>
    <w:rsid w:val="1C204A0A"/>
    <w:rsid w:val="1D306ECF"/>
    <w:rsid w:val="1E986143"/>
    <w:rsid w:val="1EA422AC"/>
    <w:rsid w:val="1F575A19"/>
    <w:rsid w:val="1F8D0609"/>
    <w:rsid w:val="214C4012"/>
    <w:rsid w:val="217750CC"/>
    <w:rsid w:val="22D8603F"/>
    <w:rsid w:val="231913E5"/>
    <w:rsid w:val="238C0BD7"/>
    <w:rsid w:val="248652D5"/>
    <w:rsid w:val="24E52C95"/>
    <w:rsid w:val="250944F7"/>
    <w:rsid w:val="264714F6"/>
    <w:rsid w:val="27C45A9E"/>
    <w:rsid w:val="28177AE8"/>
    <w:rsid w:val="28C51C4A"/>
    <w:rsid w:val="2947776C"/>
    <w:rsid w:val="29941B3D"/>
    <w:rsid w:val="2A6B75B0"/>
    <w:rsid w:val="2A8E3487"/>
    <w:rsid w:val="2AEF5F76"/>
    <w:rsid w:val="2B290ABD"/>
    <w:rsid w:val="2C3C1992"/>
    <w:rsid w:val="2CE2603B"/>
    <w:rsid w:val="2CF30275"/>
    <w:rsid w:val="2D1F79D5"/>
    <w:rsid w:val="2E6B420B"/>
    <w:rsid w:val="2EE87609"/>
    <w:rsid w:val="2F56299D"/>
    <w:rsid w:val="2FCA6D0F"/>
    <w:rsid w:val="30745E2D"/>
    <w:rsid w:val="30C90709"/>
    <w:rsid w:val="311741D6"/>
    <w:rsid w:val="32262E7B"/>
    <w:rsid w:val="325E57DA"/>
    <w:rsid w:val="33663E95"/>
    <w:rsid w:val="33F010E2"/>
    <w:rsid w:val="35843E04"/>
    <w:rsid w:val="35A85D44"/>
    <w:rsid w:val="36D6068F"/>
    <w:rsid w:val="37C624B2"/>
    <w:rsid w:val="38A82AE8"/>
    <w:rsid w:val="39376BB9"/>
    <w:rsid w:val="39430D7F"/>
    <w:rsid w:val="39537D75"/>
    <w:rsid w:val="3A296C11"/>
    <w:rsid w:val="3D361E88"/>
    <w:rsid w:val="3DA768E2"/>
    <w:rsid w:val="3EDB4669"/>
    <w:rsid w:val="402C1320"/>
    <w:rsid w:val="40F565F5"/>
    <w:rsid w:val="42A22ED7"/>
    <w:rsid w:val="42AB29D0"/>
    <w:rsid w:val="43805C0B"/>
    <w:rsid w:val="43E91A02"/>
    <w:rsid w:val="44D449CC"/>
    <w:rsid w:val="44FB594A"/>
    <w:rsid w:val="45DA3D00"/>
    <w:rsid w:val="45DC16E7"/>
    <w:rsid w:val="464F1A25"/>
    <w:rsid w:val="47567028"/>
    <w:rsid w:val="478B2DD0"/>
    <w:rsid w:val="481C529E"/>
    <w:rsid w:val="482B2BCD"/>
    <w:rsid w:val="48457423"/>
    <w:rsid w:val="489363E0"/>
    <w:rsid w:val="494B18A5"/>
    <w:rsid w:val="49F724E9"/>
    <w:rsid w:val="4B7D129F"/>
    <w:rsid w:val="4B904E59"/>
    <w:rsid w:val="4C1A61CA"/>
    <w:rsid w:val="4D6B792C"/>
    <w:rsid w:val="4DAA6A8E"/>
    <w:rsid w:val="4DF0398D"/>
    <w:rsid w:val="514E367C"/>
    <w:rsid w:val="515D57DD"/>
    <w:rsid w:val="52355AC6"/>
    <w:rsid w:val="529C0587"/>
    <w:rsid w:val="5325368A"/>
    <w:rsid w:val="536270DB"/>
    <w:rsid w:val="53727858"/>
    <w:rsid w:val="553C7BCD"/>
    <w:rsid w:val="55755B70"/>
    <w:rsid w:val="55822F42"/>
    <w:rsid w:val="568630E0"/>
    <w:rsid w:val="569E0803"/>
    <w:rsid w:val="56F4667E"/>
    <w:rsid w:val="58AD634F"/>
    <w:rsid w:val="599D7038"/>
    <w:rsid w:val="59E0137C"/>
    <w:rsid w:val="5A7547E2"/>
    <w:rsid w:val="5B973A84"/>
    <w:rsid w:val="5C8270D9"/>
    <w:rsid w:val="606C3347"/>
    <w:rsid w:val="60997EB4"/>
    <w:rsid w:val="616A1BD8"/>
    <w:rsid w:val="621D7BA8"/>
    <w:rsid w:val="62992D43"/>
    <w:rsid w:val="6434333E"/>
    <w:rsid w:val="6547664D"/>
    <w:rsid w:val="657867D3"/>
    <w:rsid w:val="6675069D"/>
    <w:rsid w:val="67B35CFF"/>
    <w:rsid w:val="6A4B37A6"/>
    <w:rsid w:val="6B5B0B88"/>
    <w:rsid w:val="6BEF307E"/>
    <w:rsid w:val="6BF775C7"/>
    <w:rsid w:val="6D2C640D"/>
    <w:rsid w:val="6FFD3FBC"/>
    <w:rsid w:val="70C04599"/>
    <w:rsid w:val="71EA06FC"/>
    <w:rsid w:val="72121E84"/>
    <w:rsid w:val="726D142B"/>
    <w:rsid w:val="72952BD1"/>
    <w:rsid w:val="729D3834"/>
    <w:rsid w:val="731140CB"/>
    <w:rsid w:val="736401D7"/>
    <w:rsid w:val="75524DAA"/>
    <w:rsid w:val="762C55FB"/>
    <w:rsid w:val="766E5C13"/>
    <w:rsid w:val="76A5715B"/>
    <w:rsid w:val="76A72ED3"/>
    <w:rsid w:val="77DC6BAC"/>
    <w:rsid w:val="77F346EA"/>
    <w:rsid w:val="78C308C5"/>
    <w:rsid w:val="798C67F7"/>
    <w:rsid w:val="79A40B4D"/>
    <w:rsid w:val="7A747570"/>
    <w:rsid w:val="7C8E4E00"/>
    <w:rsid w:val="7D5D253D"/>
    <w:rsid w:val="7E271A86"/>
    <w:rsid w:val="7FF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autoRedefine/>
    <w:qFormat/>
    <w:uiPriority w:val="0"/>
    <w:rPr>
      <w:b/>
    </w:rPr>
  </w:style>
  <w:style w:type="paragraph" w:customStyle="1" w:styleId="8">
    <w:name w:val="Table Paragraph"/>
    <w:basedOn w:val="1"/>
    <w:autoRedefine/>
    <w:qFormat/>
    <w:uiPriority w:val="0"/>
    <w:pPr>
      <w:jc w:val="left"/>
    </w:pPr>
    <w:rPr>
      <w:rFonts w:ascii="Calibri" w:hAnsi="Calibri"/>
      <w:kern w:val="0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36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2024-01-03T07:01:00Z</dcterms:created>
  <dc:creator>Administrator</dc:creator>
  <cp:lastModifiedBy>XM</cp:lastModifiedBy>
  <dcterms:modified xsi:type="dcterms:W3CDTF">2024-01-11T00:57:53Z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CC220A094A7E41EBA1FF57751FCA535C_13</vt:lpwstr>
  </property>
</Properties>
</file>