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8C92A">
      <w:pPr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附件2：</w:t>
      </w:r>
    </w:p>
    <w:p w14:paraId="1B5F7016">
      <w:pPr>
        <w:rPr>
          <w:rFonts w:ascii="仿宋" w:hAnsi="仿宋" w:eastAsia="仿宋"/>
          <w:b/>
          <w:sz w:val="28"/>
          <w:szCs w:val="28"/>
        </w:rPr>
      </w:pPr>
    </w:p>
    <w:p w14:paraId="6ACDD4F0">
      <w:pPr>
        <w:rPr>
          <w:rFonts w:ascii="仿宋" w:hAnsi="仿宋" w:eastAsia="仿宋"/>
          <w:b/>
          <w:sz w:val="28"/>
          <w:szCs w:val="28"/>
        </w:rPr>
      </w:pPr>
    </w:p>
    <w:p w14:paraId="7DA58CA9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59" w:line="294" w:lineRule="auto"/>
        <w:ind w:right="1005"/>
        <w:jc w:val="center"/>
        <w:textAlignment w:val="auto"/>
        <w:outlineLvl w:val="0"/>
        <w:rPr>
          <w:rFonts w:hint="eastAsia" w:ascii="Times New Roman" w:hAnsi="Times New Roman" w:eastAsia="华文中宋" w:cs="华文中宋"/>
          <w:spacing w:val="-12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_Toc12530"/>
      <w:bookmarkStart w:id="1" w:name="_Toc32652"/>
      <w:r>
        <w:rPr>
          <w:rFonts w:hint="eastAsia" w:ascii="Times New Roman" w:hAnsi="Times New Roman" w:eastAsia="华文中宋" w:cs="华文中宋"/>
          <w:spacing w:val="-12"/>
          <w:sz w:val="43"/>
          <w:szCs w:val="43"/>
          <w:lang w:val="en-US" w:eastAsia="zh-CN"/>
          <w14:textOutline w14:w="796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 xml:space="preserve">  石家庄学院</w:t>
      </w:r>
      <w:bookmarkEnd w:id="0"/>
      <w:bookmarkEnd w:id="1"/>
      <w:bookmarkStart w:id="2" w:name="_Toc27141"/>
      <w:bookmarkStart w:id="3" w:name="_Toc28168"/>
      <w:r>
        <w:rPr>
          <w:rFonts w:hint="eastAsia" w:ascii="Times New Roman" w:hAnsi="Times New Roman" w:eastAsia="华文中宋" w:cs="华文中宋"/>
          <w:spacing w:val="-12"/>
          <w:sz w:val="43"/>
          <w:szCs w:val="43"/>
          <w:lang w:val="en-US" w:eastAsia="zh-CN"/>
          <w14:textOutline w14:w="796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新设专业办学质量自评报告</w:t>
      </w:r>
      <w:bookmarkEnd w:id="2"/>
      <w:bookmarkEnd w:id="3"/>
    </w:p>
    <w:p w14:paraId="6F100165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Times New Roman" w:hAnsi="Times New Roman"/>
        </w:rPr>
        <w:drawing>
          <wp:inline distT="0" distB="0" distL="114300" distR="114300">
            <wp:extent cx="1999615" cy="2067560"/>
            <wp:effectExtent l="0" t="0" r="63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A23E8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361AF5E7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3AB56B48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textAlignment w:val="auto"/>
        <w:rPr>
          <w:rFonts w:hint="default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  <w:t>学院名称：</w:t>
      </w: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  <w:lang w:eastAsia="zh-CN"/>
        </w:rPr>
        <w:t>（</w:t>
      </w: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  <w:t>盖章）</w:t>
      </w:r>
    </w:p>
    <w:p w14:paraId="5D0DDF8D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textAlignment w:val="auto"/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  <w:t>专业名称</w:t>
      </w: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  <w:t>：</w:t>
      </w:r>
      <w:bookmarkStart w:id="34" w:name="_GoBack"/>
      <w:bookmarkEnd w:id="34"/>
    </w:p>
    <w:p w14:paraId="076732DB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textAlignment w:val="auto"/>
        <w:rPr>
          <w:rFonts w:hint="default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  <w:t>设置年份：</w:t>
      </w:r>
    </w:p>
    <w:p w14:paraId="19BF9EAD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textAlignment w:val="auto"/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  <w:t>专业负责人：</w:t>
      </w:r>
    </w:p>
    <w:p w14:paraId="383A0F9A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textAlignment w:val="auto"/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  <w:t>联系电话：</w:t>
      </w:r>
    </w:p>
    <w:p w14:paraId="43758690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textAlignment w:val="auto"/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</w:rPr>
        <w:t>学院审核人：</w:t>
      </w:r>
    </w:p>
    <w:p w14:paraId="545A1E3C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101" w:line="763" w:lineRule="exact"/>
        <w:ind w:left="1621"/>
        <w:jc w:val="center"/>
        <w:textAlignment w:val="auto"/>
        <w:rPr>
          <w:rFonts w:hint="default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</w:pPr>
      <w:r>
        <w:rPr>
          <w:rFonts w:hint="eastAsia" w:ascii="Times New Roman" w:hAnsi="Times New Roman" w:eastAsia="黑体" w:cs="黑体"/>
          <w:spacing w:val="-12"/>
          <w:position w:val="34"/>
          <w:sz w:val="31"/>
          <w:szCs w:val="31"/>
          <w:lang w:val="en-US" w:eastAsia="zh-CN"/>
        </w:rPr>
        <w:t>2026年6月</w:t>
      </w:r>
    </w:p>
    <w:p w14:paraId="606042F1">
      <w:pPr>
        <w:jc w:val="center"/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bookmarkStart w:id="4" w:name="_Toc2019"/>
      <w:bookmarkStart w:id="5" w:name="_Toc27637"/>
    </w:p>
    <w:p w14:paraId="5B679185">
      <w:pPr>
        <w:jc w:val="center"/>
        <w:outlineLvl w:val="0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自评</w:t>
      </w:r>
      <w:r>
        <w:rPr>
          <w:rFonts w:hint="eastAsia" w:ascii="黑体" w:hAnsi="黑体" w:eastAsia="黑体"/>
          <w:b/>
          <w:sz w:val="36"/>
          <w:szCs w:val="36"/>
        </w:rPr>
        <w:t>报告撰写说明</w:t>
      </w:r>
      <w:bookmarkEnd w:id="4"/>
      <w:bookmarkEnd w:id="5"/>
    </w:p>
    <w:p w14:paraId="19771331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1.报告结构分为专业定位、培养过程、教学资源与利用、教师队伍、学生发展、质量保障、专业特七个部分，其中专业特色为自选项。</w:t>
      </w:r>
    </w:p>
    <w:p w14:paraId="6A985ED3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2.报告应围绕二级指标及其审核重点，逐条用数据和事实举证达成情况、存在的主要问题及采取的改进措施，总篇幅不超过2万字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提交时，模板内容需删除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。其中，对主要问题和改进措施的描述不少于1/3。</w:t>
      </w:r>
    </w:p>
    <w:p w14:paraId="220F6740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3.报告要求明确清晰给出专业“自画像”，强调以问题为导向，专业主动开展自评自查，发现问题和不足，并采取积极行动整改。</w:t>
      </w:r>
    </w:p>
    <w:p w14:paraId="23688643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4.自评报告所列举证数据和事实要求客观真实，并提供相应的支撑材料。支撑材料是对自评报告中描述内容的佐证，其本身并不是质量报告的一部分。</w:t>
      </w:r>
    </w:p>
    <w:p w14:paraId="5E2059D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报告一级标题三号黑体，用“1.”“2.”“3.”标识；报告二级标题小三号黑体，用“1.1”“1.2”“1.3”标识；报告三级标题四号黑体，用“1.1.1”“1.1.2”“1.1.3”标识；报告正文使用四号宋体；行距调整为固定值30磅。</w:t>
      </w:r>
    </w:p>
    <w:p w14:paraId="70881029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184C4A65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FD1FAD5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01B959D">
      <w:pPr>
        <w:numPr>
          <w:ilvl w:val="0"/>
          <w:numId w:val="0"/>
        </w:numPr>
        <w:tabs>
          <w:tab w:val="left" w:pos="0"/>
        </w:tabs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72FB6EA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rPr>
          <w:rFonts w:hint="eastAsia" w:ascii="Times New Roman" w:hAnsi="Times New Roman" w:eastAsia="黑体" w:cs="黑体"/>
          <w:b w:val="0"/>
          <w:bCs w:val="0"/>
          <w:sz w:val="36"/>
          <w:szCs w:val="36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CDF6896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</w:pPr>
      <w:r>
        <w:rPr>
          <w:rFonts w:hint="eastAsia" w:ascii="Times New Roman" w:hAnsi="Times New Roman" w:eastAsia="黑体" w:cs="黑体"/>
          <w:b w:val="0"/>
          <w:bCs w:val="0"/>
          <w:sz w:val="36"/>
          <w:szCs w:val="36"/>
          <w:lang w:val="en-US" w:eastAsia="zh-CN"/>
        </w:rPr>
        <w:t>目 录</w:t>
      </w:r>
    </w:p>
    <w:sdt>
      <w:sdtPr>
        <w:rPr>
          <w:rFonts w:ascii="宋体" w:hAnsi="宋体" w:eastAsia="宋体" w:cstheme="minorBidi"/>
          <w:kern w:val="2"/>
          <w:sz w:val="21"/>
          <w:szCs w:val="22"/>
          <w:lang w:val="en-US" w:eastAsia="zh-CN" w:bidi="ar-SA"/>
        </w:rPr>
        <w:id w:val="147463005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sdtEndPr>
      <w:sdtContent>
        <w:p w14:paraId="0A6821D9">
          <w:pPr>
            <w:keepNext w:val="0"/>
            <w:keepLines w:val="0"/>
            <w:pageBreakBefore w:val="0"/>
            <w:widowControl w:val="0"/>
            <w:kinsoku/>
            <w:wordWrap/>
            <w:topLinePunct w:val="0"/>
            <w:bidi w:val="0"/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textAlignment w:val="auto"/>
          </w:pPr>
        </w:p>
        <w:p w14:paraId="4BA57810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b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TOC \o "1-2" \h \u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_Toc32025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/>
            </w:rPr>
            <w:t>1.专业定位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PAGEREF _Toc32025 \h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62FEF3A9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_Toc15600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1.1专业定位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_Toc15600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65C9080E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_Toc15151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1.2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专业建设目标及规划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_Toc15151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02B71909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_Toc29334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1.3存在的问题、原因分析及下一步整改举措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_Toc29334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6482CFE5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b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_Toc13223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/>
            </w:rPr>
            <w:t>2.培养过程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PAGEREF _Toc13223 \h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5AA34E73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_Toc405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2.1培养方案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_Toc405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39233912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_Toc20375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2.2课程与教学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_Toc20375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057CCD3D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_Toc15516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2.3存在的问题、原因分析及下一步整改举措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_Toc15516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41650D46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b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_Toc13601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/>
            </w:rPr>
            <w:t>3.教学资源与利用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PAGEREF _Toc13601 \h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4B68A9A9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_Toc32455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3.1教学条件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_Toc32455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06389014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_Toc29286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3.2教学资源建设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_Toc29286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7115690D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_Toc10053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3.3存在的问题、原因分析及下一步整改举措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_Toc10053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2ABC8A92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b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_Toc5413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/>
            </w:rPr>
            <w:t>4.教师队伍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PAGEREF _Toc5413 \h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0242910C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_Toc13051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4.1师资力量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_Toc13051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62D85303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_Toc15434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4.2教学能力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_Toc15434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1651F369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_Toc23287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4.3教师发展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_Toc23287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01C718D9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_Toc10933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4.4存在的问题、原因分析及下一步整改举措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_Toc10933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386F16A9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b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_Toc26077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 w:bidi="ar-SA"/>
            </w:rPr>
            <w:t>5.学生发展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PAGEREF _Toc26077 \h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32C3E8DA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jc w:val="righ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_Toc30806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5.1专业认同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_Toc30806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42454793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jc w:val="righ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_Toc17232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5.2在校生质量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_Toc17232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435C58D3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jc w:val="righ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_Toc31153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5.3存在的问题、原因分析及下一步整改举措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_Toc31153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328472D2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b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_Toc24779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 w:bidi="ar-SA"/>
            </w:rPr>
            <w:t>6.质量保障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PAGEREF _Toc24779 \h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2EC5984B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_Toc9738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6.1教学监控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_Toc9738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74CFCA61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_Toc22903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6.2质量改进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_Toc22903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4A9F9C05">
          <w:pPr>
            <w:pStyle w:val="11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_Toc18600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6.3存在的问题、原因分析及下一步整改举措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_Toc18600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57564DD5">
          <w:pPr>
            <w:pStyle w:val="10"/>
            <w:keepNext w:val="0"/>
            <w:keepLines w:val="0"/>
            <w:pageBreakBefore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instrText xml:space="preserve"> HYPERLINK \l _Toc24779 </w:instrTex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/>
              <w:kern w:val="0"/>
              <w:sz w:val="24"/>
              <w:szCs w:val="24"/>
              <w:lang w:val="en-US" w:eastAsia="zh-CN" w:bidi="ar-SA"/>
            </w:rPr>
            <w:t>7.专业特色（自选）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/>
              <w:sz w:val="24"/>
              <w:szCs w:val="24"/>
              <w:lang w:val="en-US" w:eastAsia="zh-CN"/>
            </w:rPr>
            <w:t>7</w:t>
          </w: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  <w:p w14:paraId="51ED4681">
          <w:pPr>
            <w:keepNext w:val="0"/>
            <w:keepLines w:val="0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6" w:beforeLines="50" w:after="156" w:afterLines="50" w:line="360" w:lineRule="auto"/>
            <w:textAlignment w:val="auto"/>
            <w:outlineLvl w:val="9"/>
            <w:rPr>
              <w:rFonts w:hint="eastAsia" w:ascii="宋体" w:hAnsi="宋体" w:eastAsia="宋体" w:cs="宋体"/>
              <w:b/>
              <w:kern w:val="2"/>
              <w:sz w:val="24"/>
              <w:szCs w:val="24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b/>
              <w:sz w:val="24"/>
              <w:szCs w:val="24"/>
            </w:rPr>
            <w:fldChar w:fldCharType="end"/>
          </w:r>
        </w:p>
      </w:sdtContent>
    </w:sdt>
    <w:p w14:paraId="43131C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bookmarkStart w:id="6" w:name="_Toc32025"/>
    </w:p>
    <w:p w14:paraId="5C35D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1.专业定位</w:t>
      </w:r>
      <w:bookmarkEnd w:id="6"/>
    </w:p>
    <w:p w14:paraId="71ECBD7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eastAsia="zh-CN"/>
        </w:rPr>
      </w:pPr>
      <w:bookmarkStart w:id="7" w:name="_Toc15600"/>
      <w:bookmarkStart w:id="8" w:name="_Toc8108"/>
      <w:r>
        <w:rPr>
          <w:rFonts w:hint="eastAsia" w:ascii="黑体" w:hAnsi="黑体" w:eastAsia="黑体" w:cs="黑体"/>
          <w:sz w:val="30"/>
          <w:szCs w:val="30"/>
        </w:rPr>
        <w:t>1.1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</w:rPr>
        <w:t>专业定位</w:t>
      </w:r>
      <w:bookmarkEnd w:id="7"/>
      <w:bookmarkEnd w:id="8"/>
    </w:p>
    <w:p w14:paraId="45E75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专业办学定位、人才培养目标及服务面向，结合区域经济社会发展、行业产业发展需求，阐述专业定位的适配性与合理性。</w:t>
      </w:r>
    </w:p>
    <w:p w14:paraId="3F7429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9" w:name="_Toc19314"/>
      <w:bookmarkStart w:id="10" w:name="_Toc15151"/>
      <w:r>
        <w:rPr>
          <w:rFonts w:hint="eastAsia" w:ascii="黑体" w:hAnsi="黑体" w:eastAsia="黑体" w:cs="黑体"/>
          <w:sz w:val="30"/>
          <w:szCs w:val="30"/>
        </w:rPr>
        <w:t xml:space="preserve">1.2 </w:t>
      </w:r>
      <w:bookmarkEnd w:id="9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专业建设目标及规划</w:t>
      </w:r>
      <w:bookmarkEnd w:id="10"/>
    </w:p>
    <w:p w14:paraId="2A638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：说明专业建设规划及目标，以及结合行业发展、岗位需求开展的专业动态调研与定位优化举措。</w:t>
      </w:r>
    </w:p>
    <w:p w14:paraId="490B793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11" w:name="_Toc29334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1.3 存在的问题、原因分析及下一步整改举措</w:t>
      </w:r>
      <w:bookmarkEnd w:id="11"/>
    </w:p>
    <w:p w14:paraId="6934B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12" w:name="_Toc3371"/>
    </w:p>
    <w:p w14:paraId="32D4B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583A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7FE36B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2790F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214BB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34A8D3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272690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29292D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13" w:name="_Toc13223"/>
    </w:p>
    <w:p w14:paraId="6B5871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2.培养过程</w:t>
      </w:r>
      <w:bookmarkEnd w:id="13"/>
    </w:p>
    <w:p w14:paraId="7194EA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14" w:name="_Toc405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2.1 培养方案</w:t>
      </w:r>
      <w:bookmarkEnd w:id="14"/>
    </w:p>
    <w:p w14:paraId="0EAA0F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①人才培养方案编制、修订依据与制定过程，阐述培养方案编制的规范性、科学性与适配性。②说明人才培养方案的落实执行情况，包括课程体系、学时学分分配、课程开设进度等是否严格落实培养方案各项教学要求，有无调整课程、学时、教学安排等情况。</w:t>
      </w:r>
    </w:p>
    <w:p w14:paraId="4FD7AD3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15" w:name="_Toc20375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2.2 课程与教学</w:t>
      </w:r>
      <w:bookmarkEnd w:id="15"/>
    </w:p>
    <w:p w14:paraId="0284CE52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①本专业课程建设情况，包括一流课程、智慧课程、课程思政示范课程、AI赋能示范课程等。②课堂教学及改革举措，包括教学理念、教学方法、教学模式、教学手段、教学评价等。③实习、实践课程开展情况。</w:t>
      </w:r>
    </w:p>
    <w:p w14:paraId="060BE51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16" w:name="_Toc15516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2.3 存在的问题、原因分析及下一步整改举措</w:t>
      </w:r>
      <w:bookmarkEnd w:id="16"/>
    </w:p>
    <w:p w14:paraId="7E2FA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721B5F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5865DC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4D871B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3A2282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37654F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17" w:name="_Toc13601"/>
    </w:p>
    <w:p w14:paraId="5EE938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3.教学资源与利用</w:t>
      </w:r>
      <w:bookmarkEnd w:id="17"/>
    </w:p>
    <w:p w14:paraId="44109B7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18" w:name="_Toc32455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3.1 教学条件</w:t>
      </w:r>
      <w:bookmarkEnd w:id="18"/>
    </w:p>
    <w:p w14:paraId="4B647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简述实验场所与设备利用、实验室开放与共享情况，是否满足日常教学、实训实操需求。②介绍校内外实习、实训基地，说明校企合作单位数量、合作模式、合作内容及运行情况，阐述教师指导情况及校企协同育人落地成效。</w:t>
      </w:r>
    </w:p>
    <w:p w14:paraId="6C9FE60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19" w:name="_Toc29286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3.2 教学资源建设</w:t>
      </w:r>
      <w:bookmarkEnd w:id="19"/>
    </w:p>
    <w:p w14:paraId="20120ADA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①阐述与行业企业共建共享课程资源库、真实项目案例库（不含购买）及向学生开放、使用情况。②开展产学研成果转化与应用情况。③产教融合教材编制及使用情况。</w:t>
      </w:r>
    </w:p>
    <w:p w14:paraId="46B07E4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20" w:name="_Toc10053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3.3 存在的问题、原因分析及下一步整改举措</w:t>
      </w:r>
      <w:bookmarkEnd w:id="20"/>
    </w:p>
    <w:p w14:paraId="76562011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084B3351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1330D7AE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74C5F1FE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6A2BEE7C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39DC6346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2F30F7AC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1B15599A">
      <w:pPr>
        <w:pStyle w:val="3"/>
        <w:rPr>
          <w:rFonts w:hint="eastAsia" w:asciiTheme="minorEastAsia" w:hAnsiTheme="minorEastAsia" w:eastAsiaTheme="minorEastAsia" w:cstheme="minorBidi"/>
          <w:b/>
          <w:kern w:val="2"/>
          <w:sz w:val="28"/>
          <w:szCs w:val="28"/>
          <w:lang w:val="en-US" w:eastAsia="zh-CN" w:bidi="ar-SA"/>
        </w:rPr>
      </w:pPr>
    </w:p>
    <w:p w14:paraId="5C8E6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21" w:name="_Toc5413"/>
    </w:p>
    <w:p w14:paraId="6C8318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1D3833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4.教师队伍</w:t>
      </w:r>
      <w:bookmarkEnd w:id="21"/>
    </w:p>
    <w:p w14:paraId="27A793D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22" w:name="_Toc13051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4.1 师资力量</w:t>
      </w:r>
      <w:bookmarkEnd w:id="22"/>
    </w:p>
    <w:p w14:paraId="216702F1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介绍本专业专任教师、兼职教师基本情况，明确教师总人数、学历结构、职称结构、年龄结构、专业背景、双师型教师占比等数据，分析师资队伍结构的合理性、适配性及师生比。②专业负责人的职称、教学科研水平及在专业建设中发挥的作用。</w:t>
      </w:r>
    </w:p>
    <w:p w14:paraId="34C2FD0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23" w:name="_Toc15434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4.2 教学科研能力</w:t>
      </w:r>
      <w:bookmarkEnd w:id="23"/>
    </w:p>
    <w:p w14:paraId="0F959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：①阐述教师日常教学履职、课堂教学质量、学情辅导等情况及在教学方面获得的奖励。②教师主持、参加的相关科研课题，发表的科研论文及专业引进的科研经费等。</w:t>
      </w:r>
    </w:p>
    <w:p w14:paraId="1E8BE12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24" w:name="_Toc23287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4.3 教师发展</w:t>
      </w:r>
      <w:bookmarkEnd w:id="24"/>
    </w:p>
    <w:p w14:paraId="6349C744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重点阐述：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总结本专业师资队伍建设工作，包括教师岗前培训、教学能力培训、学术交流、进修访学、挂职锻炼、青年教师帮扶、教学团队建设等工作开展情况。②基层教学组织在教学工作开展与教师能力提升方面发挥积极作用。</w:t>
      </w:r>
    </w:p>
    <w:p w14:paraId="1EDD341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25" w:name="_Toc10933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4.4 存在的问题、原因分析及下一步整改举措</w:t>
      </w:r>
      <w:bookmarkEnd w:id="25"/>
    </w:p>
    <w:p w14:paraId="5D8B1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B712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2AC8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05EADAA">
      <w:pPr>
        <w:pStyle w:val="3"/>
        <w:numPr>
          <w:ilvl w:val="0"/>
          <w:numId w:val="0"/>
        </w:numPr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73F25C42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  <w:bookmarkStart w:id="26" w:name="_Toc26077"/>
      <w:bookmarkStart w:id="27" w:name="_Toc24779"/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  <w:t>5.学生发展</w:t>
      </w:r>
      <w:bookmarkEnd w:id="26"/>
    </w:p>
    <w:p w14:paraId="391C532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28" w:name="_Toc30806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5.1 专业认同</w:t>
      </w:r>
      <w:bookmarkEnd w:id="28"/>
    </w:p>
    <w:p w14:paraId="1380C0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重点阐述：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①专业设置以来历年招生情况，包括招生计划数、新生报到人数、报到率、录取平均分全校排名等；结合招生数据对比，分析本专业招生态势、生源质量、招生工作亮点及存在的问题；②专业设置以来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学生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转专业情况，包括转入与转出，并进行原因分析。</w:t>
      </w:r>
    </w:p>
    <w:p w14:paraId="49912E0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29" w:name="_Toc17232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5.2 在校生质量</w:t>
      </w:r>
      <w:bookmarkEnd w:id="29"/>
    </w:p>
    <w:p w14:paraId="588F55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重点阐述：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①结合学情状态、学风建设、学业进展、综合素质培养开展阐述，说明学生日常管理、学风建设举措、学业帮扶、学情分析指导等工作开展情况。②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梳理学生发展成果，包括学生参与学科竞赛、职业技能竞赛、创新创业项目、社会实践、志愿服务、文体活动等参与情况、获奖成果、荣誉证书等，展现学生综合素质培育成效。</w:t>
      </w:r>
    </w:p>
    <w:p w14:paraId="6440D0A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30" w:name="_Toc31153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5.3 存在的问题、原因分析及下一步整改举措</w:t>
      </w:r>
      <w:bookmarkEnd w:id="30"/>
    </w:p>
    <w:p w14:paraId="78C2C9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</w:p>
    <w:p w14:paraId="31A883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</w:p>
    <w:p w14:paraId="5FCA6A30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343C1E3E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01D122A0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741F6E4F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2E68DAA4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1187171D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38DD86DE">
      <w:pPr>
        <w:pStyle w:val="3"/>
        <w:numPr>
          <w:ilvl w:val="0"/>
          <w:numId w:val="0"/>
        </w:numPr>
        <w:jc w:val="center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  <w:t>6.质量保障</w:t>
      </w:r>
      <w:bookmarkEnd w:id="27"/>
    </w:p>
    <w:p w14:paraId="523745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31" w:name="_Toc9738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6.1 </w:t>
      </w:r>
      <w:bookmarkEnd w:id="31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质量监控</w:t>
      </w:r>
    </w:p>
    <w:p w14:paraId="2AC9B2A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重点阐述：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总结日常教学检查、随堂听课、教学督导、师生教学反馈、期中期末教学检查、教学质量评价等质量监控工作的开展情况，列明检查次数、覆盖范围、发现的常规问题。</w:t>
      </w:r>
    </w:p>
    <w:p w14:paraId="44A38B3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32" w:name="_Toc22903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6.2 </w:t>
      </w:r>
      <w:bookmarkEnd w:id="32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质量改进</w:t>
      </w:r>
    </w:p>
    <w:p w14:paraId="00DB03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重点阐述：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针对质量监控过程中发现的教学、管理、建设问题，说明整改措施、整改过程、整改完成情况及长效机制建立情况。</w:t>
      </w:r>
    </w:p>
    <w:p w14:paraId="583B288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spacing w:before="156" w:beforeLines="50" w:after="156" w:afterLines="50" w:line="560" w:lineRule="exact"/>
        <w:ind w:firstLine="600" w:firstLineChars="200"/>
        <w:textAlignment w:val="auto"/>
        <w:outlineLvl w:val="1"/>
        <w:rPr>
          <w:rFonts w:hint="eastAsia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  <w:bookmarkStart w:id="33" w:name="_Toc18600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6.3 存在的问题、原因分析及下一步整改举措</w:t>
      </w:r>
      <w:bookmarkEnd w:id="33"/>
    </w:p>
    <w:p w14:paraId="0F04B4A9">
      <w:pPr>
        <w:pStyle w:val="3"/>
        <w:numPr>
          <w:ilvl w:val="0"/>
          <w:numId w:val="0"/>
        </w:numPr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36F9AB28">
      <w:pPr>
        <w:pStyle w:val="3"/>
        <w:numPr>
          <w:ilvl w:val="0"/>
          <w:numId w:val="0"/>
        </w:numPr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4F906941">
      <w:pPr>
        <w:pStyle w:val="3"/>
        <w:numPr>
          <w:ilvl w:val="0"/>
          <w:numId w:val="0"/>
        </w:numPr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</w:p>
    <w:p w14:paraId="608ED28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eastAsia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bookmarkEnd w:id="12"/>
    <w:p w14:paraId="2BBE797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5AA4E81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61A629A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213AF62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73E6781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28B58E8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05A3983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6C019E9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57EE3A1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73C9894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default" w:ascii="Times New Roman" w:hAnsi="Times New Roman" w:eastAsia="黑体" w:cs="黑体"/>
          <w:kern w:val="2"/>
          <w:sz w:val="30"/>
          <w:szCs w:val="30"/>
          <w:lang w:val="en-US" w:eastAsia="zh-CN" w:bidi="ar-SA"/>
        </w:rPr>
      </w:pPr>
    </w:p>
    <w:p w14:paraId="076114F5">
      <w:pPr>
        <w:pStyle w:val="3"/>
        <w:numPr>
          <w:ilvl w:val="0"/>
          <w:numId w:val="0"/>
        </w:numPr>
        <w:jc w:val="center"/>
        <w:outlineLvl w:val="0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-SA"/>
        </w:rPr>
        <w:t>7.专业特色（自选）</w:t>
      </w:r>
    </w:p>
    <w:p w14:paraId="00B8D9F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重点阐述：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专业在人才培养模式、教学改革、产教融合等方面的特色做法。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EA66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D310A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FC46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4D639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4D639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Y5YTNmN2RiM2ZmNzFhYmY1MzhkZWY5NTkzOWUifQ=="/>
  </w:docVars>
  <w:rsids>
    <w:rsidRoot w:val="3FC914E0"/>
    <w:rsid w:val="00FD0314"/>
    <w:rsid w:val="01E90B81"/>
    <w:rsid w:val="01EC20E2"/>
    <w:rsid w:val="031355F0"/>
    <w:rsid w:val="04A7217F"/>
    <w:rsid w:val="04DD352F"/>
    <w:rsid w:val="05681A81"/>
    <w:rsid w:val="073000D3"/>
    <w:rsid w:val="08E64274"/>
    <w:rsid w:val="0F072B97"/>
    <w:rsid w:val="0F5D017B"/>
    <w:rsid w:val="116A4DD1"/>
    <w:rsid w:val="11B4723D"/>
    <w:rsid w:val="1427797F"/>
    <w:rsid w:val="16DC407B"/>
    <w:rsid w:val="1B6046F3"/>
    <w:rsid w:val="1DBF019F"/>
    <w:rsid w:val="1E297E7C"/>
    <w:rsid w:val="1FA80734"/>
    <w:rsid w:val="200C11C9"/>
    <w:rsid w:val="21584C46"/>
    <w:rsid w:val="224B2342"/>
    <w:rsid w:val="250F1AC0"/>
    <w:rsid w:val="2620470E"/>
    <w:rsid w:val="29C7294F"/>
    <w:rsid w:val="2B9E14E1"/>
    <w:rsid w:val="2C212496"/>
    <w:rsid w:val="2CA67075"/>
    <w:rsid w:val="2DC27F9F"/>
    <w:rsid w:val="30F72526"/>
    <w:rsid w:val="39B7795E"/>
    <w:rsid w:val="39D129C8"/>
    <w:rsid w:val="3BCA559E"/>
    <w:rsid w:val="3D146DEB"/>
    <w:rsid w:val="3D836C73"/>
    <w:rsid w:val="3F0B2EA0"/>
    <w:rsid w:val="3FC914E0"/>
    <w:rsid w:val="40650A45"/>
    <w:rsid w:val="419378A9"/>
    <w:rsid w:val="422F7161"/>
    <w:rsid w:val="43C164EC"/>
    <w:rsid w:val="444F6E15"/>
    <w:rsid w:val="44BE59BB"/>
    <w:rsid w:val="481132D5"/>
    <w:rsid w:val="4A3B4048"/>
    <w:rsid w:val="4FAC7D88"/>
    <w:rsid w:val="4FBC5F0F"/>
    <w:rsid w:val="500670E4"/>
    <w:rsid w:val="539F104E"/>
    <w:rsid w:val="56144624"/>
    <w:rsid w:val="5E8C40B1"/>
    <w:rsid w:val="5EA44DA0"/>
    <w:rsid w:val="61FD76AE"/>
    <w:rsid w:val="638702B8"/>
    <w:rsid w:val="666155C0"/>
    <w:rsid w:val="66FD5997"/>
    <w:rsid w:val="67C82022"/>
    <w:rsid w:val="6A6E5ADF"/>
    <w:rsid w:val="6AF7471B"/>
    <w:rsid w:val="6CCA46FC"/>
    <w:rsid w:val="6CCC0825"/>
    <w:rsid w:val="6E105C5A"/>
    <w:rsid w:val="706B4E3F"/>
    <w:rsid w:val="70DB2B71"/>
    <w:rsid w:val="72C17B33"/>
    <w:rsid w:val="74806F69"/>
    <w:rsid w:val="768A4617"/>
    <w:rsid w:val="7746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560" w:lineRule="exact"/>
    </w:pPr>
    <w:rPr>
      <w:rFonts w:ascii="仿宋_GB2312" w:hAnsi="宋体"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2159</Words>
  <Characters>2282</Characters>
  <Lines>0</Lines>
  <Paragraphs>0</Paragraphs>
  <TotalTime>1</TotalTime>
  <ScaleCrop>false</ScaleCrop>
  <LinksUpToDate>false</LinksUpToDate>
  <CharactersWithSpaces>2383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2024-05-06T08:36:00Z</dcterms:created>
  <dc:creator>小希望</dc:creator>
  <cp:lastModifiedBy>Autumn</cp:lastModifiedBy>
  <dcterms:modified xsi:type="dcterms:W3CDTF">2026-06-17T02:09:16Z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D34483C8E5B249C4BB9A5B913B2EA880_11</vt:lpwstr>
  </property>
  <property fmtid="{D5CDD505-2E9C-101B-9397-08002B2CF9AE}" pid="4" name="KSOTemplateDocerSaveRecord">
    <vt:lpwstr>eyJoZGlkIjoiZGI1MTIxMTU2NjQ3OWNhNzJjZjBmNDdkZDI2ZTk4NzgiLCJ1c2VySWQiOiIyNDExNjIwNjgifQ==</vt:lpwstr>
  </property>
</Properties>
</file>