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72F3F">
      <w:pPr>
        <w:spacing w:line="48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bCs/>
          <w:sz w:val="28"/>
          <w:szCs w:val="21"/>
          <w:lang w:val="en-C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-182880</wp:posOffset>
            </wp:positionH>
            <wp:positionV relativeFrom="paragraph">
              <wp:posOffset>197485</wp:posOffset>
            </wp:positionV>
            <wp:extent cx="974725" cy="548640"/>
            <wp:effectExtent l="0" t="0" r="0" b="3810"/>
            <wp:wrapNone/>
            <wp:docPr id="6" name="图片 6" descr="C:\Users\Dylan\AppData\Local\Temp\WeChat Files\40b124afbd8c9bb49816385c2cfc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Dylan\AppData\Local\Temp\WeChat Files\40b124afbd8c9bb49816385c2cfc37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788C08">
      <w:pPr>
        <w:spacing w:line="480" w:lineRule="exact"/>
        <w:jc w:val="center"/>
        <w:rPr>
          <w:rFonts w:ascii="黑体" w:hAnsi="黑体" w:eastAsia="黑体" w:cs="仿宋"/>
          <w:w w:val="95"/>
          <w:sz w:val="40"/>
          <w:szCs w:val="32"/>
        </w:rPr>
      </w:pPr>
    </w:p>
    <w:p w14:paraId="6B1C30C4">
      <w:pPr>
        <w:spacing w:line="480" w:lineRule="exact"/>
        <w:jc w:val="center"/>
        <w:rPr>
          <w:rFonts w:ascii="黑体" w:hAnsi="黑体" w:eastAsia="黑体" w:cs="仿宋"/>
          <w:w w:val="95"/>
          <w:sz w:val="40"/>
          <w:szCs w:val="32"/>
        </w:rPr>
      </w:pPr>
      <w:r>
        <w:rPr>
          <w:rFonts w:hint="eastAsia" w:ascii="黑体" w:hAnsi="黑体" w:eastAsia="黑体" w:cs="仿宋"/>
          <w:w w:val="95"/>
          <w:sz w:val="40"/>
          <w:szCs w:val="32"/>
        </w:rPr>
        <w:t>202</w:t>
      </w:r>
      <w:r>
        <w:rPr>
          <w:rFonts w:hint="eastAsia" w:ascii="黑体" w:hAnsi="黑体" w:eastAsia="黑体" w:cs="仿宋"/>
          <w:w w:val="95"/>
          <w:sz w:val="40"/>
          <w:szCs w:val="32"/>
          <w:lang w:val="en-US" w:eastAsia="zh-CN"/>
        </w:rPr>
        <w:t>6</w:t>
      </w:r>
      <w:r>
        <w:rPr>
          <w:rFonts w:hint="eastAsia" w:ascii="黑体" w:hAnsi="黑体" w:eastAsia="黑体" w:cs="仿宋"/>
          <w:w w:val="95"/>
          <w:sz w:val="40"/>
          <w:szCs w:val="32"/>
        </w:rPr>
        <w:t>年全国本科院校税收风险管控案例大赛</w:t>
      </w:r>
    </w:p>
    <w:p w14:paraId="3387C7D7">
      <w:pPr>
        <w:spacing w:line="480" w:lineRule="exact"/>
        <w:jc w:val="center"/>
        <w:rPr>
          <w:rFonts w:ascii="黑体" w:hAnsi="黑体" w:eastAsia="黑体" w:cs="仿宋"/>
          <w:sz w:val="40"/>
          <w:szCs w:val="32"/>
        </w:rPr>
      </w:pPr>
      <w:r>
        <w:rPr>
          <w:rFonts w:hint="eastAsia" w:ascii="黑体" w:hAnsi="黑体" w:eastAsia="黑体" w:cs="仿宋"/>
          <w:sz w:val="40"/>
          <w:szCs w:val="32"/>
        </w:rPr>
        <w:t>**省分区赛竞赛规程</w:t>
      </w:r>
    </w:p>
    <w:p w14:paraId="7B0A47A9">
      <w:pPr>
        <w:spacing w:line="480" w:lineRule="exact"/>
        <w:jc w:val="center"/>
        <w:rPr>
          <w:rFonts w:ascii="黑体" w:hAnsi="黑体" w:eastAsia="黑体" w:cs="仿宋"/>
          <w:b/>
          <w:sz w:val="36"/>
          <w:szCs w:val="28"/>
        </w:rPr>
      </w:pPr>
    </w:p>
    <w:p w14:paraId="546C2650">
      <w:pPr>
        <w:spacing w:line="480" w:lineRule="exact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5406B815">
      <w:pPr>
        <w:spacing w:line="480" w:lineRule="exact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20D0E27C">
      <w:pPr>
        <w:spacing w:line="480" w:lineRule="exact"/>
        <w:jc w:val="both"/>
        <w:rPr>
          <w:rFonts w:ascii="仿宋" w:hAnsi="仿宋" w:eastAsia="仿宋" w:cs="仿宋"/>
          <w:b/>
          <w:sz w:val="28"/>
          <w:szCs w:val="28"/>
        </w:rPr>
      </w:pPr>
    </w:p>
    <w:p w14:paraId="547304F3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sz w:val="28"/>
          <w:szCs w:val="28"/>
        </w:rPr>
        <w:t xml:space="preserve">   </w:t>
      </w:r>
    </w:p>
    <w:tbl>
      <w:tblPr>
        <w:tblStyle w:val="13"/>
        <w:tblW w:w="8145" w:type="dxa"/>
        <w:tblInd w:w="9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6019"/>
      </w:tblGrid>
      <w:tr w14:paraId="1F56D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2126" w:type="dxa"/>
          </w:tcPr>
          <w:p w14:paraId="5B91B245">
            <w:pPr>
              <w:widowControl w:val="0"/>
              <w:spacing w:before="100" w:beforeAutospacing="1" w:after="100" w:afterAutospacing="1"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主办单位：</w:t>
            </w:r>
          </w:p>
        </w:tc>
        <w:tc>
          <w:tcPr>
            <w:tcW w:w="6019" w:type="dxa"/>
          </w:tcPr>
          <w:p w14:paraId="7F70F2A7">
            <w:pPr>
              <w:widowControl w:val="0"/>
              <w:spacing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全国本科院校税收风险管控案例</w:t>
            </w:r>
          </w:p>
          <w:p w14:paraId="2B19FEF5">
            <w:pPr>
              <w:widowControl w:val="0"/>
              <w:spacing w:line="480" w:lineRule="exact"/>
              <w:ind w:firstLine="1606" w:firstLineChars="400"/>
              <w:jc w:val="both"/>
              <w:rPr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大赛组委会</w:t>
            </w:r>
          </w:p>
        </w:tc>
      </w:tr>
      <w:tr w14:paraId="598FB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2126" w:type="dxa"/>
          </w:tcPr>
          <w:p w14:paraId="6120F247">
            <w:pPr>
              <w:widowControl w:val="0"/>
              <w:spacing w:before="100" w:beforeAutospacing="1" w:after="100" w:afterAutospacing="1"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  <w:highlight w:val="none"/>
              </w:rPr>
              <w:t>指导单位</w:t>
            </w: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：</w:t>
            </w:r>
          </w:p>
        </w:tc>
        <w:tc>
          <w:tcPr>
            <w:tcW w:w="6019" w:type="dxa"/>
          </w:tcPr>
          <w:p w14:paraId="47FB77F7">
            <w:pPr>
              <w:spacing w:line="480" w:lineRule="exact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全国税务专业学位研究生教育指导委员会</w:t>
            </w:r>
          </w:p>
          <w:p w14:paraId="15362755">
            <w:pPr>
              <w:widowControl w:val="0"/>
              <w:spacing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</w:p>
        </w:tc>
      </w:tr>
      <w:tr w14:paraId="366C4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2126" w:type="dxa"/>
          </w:tcPr>
          <w:p w14:paraId="788F1DF7">
            <w:pPr>
              <w:widowControl w:val="0"/>
              <w:spacing w:before="100" w:beforeAutospacing="1" w:after="100" w:afterAutospacing="1"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承办单位</w:t>
            </w:r>
          </w:p>
        </w:tc>
        <w:tc>
          <w:tcPr>
            <w:tcW w:w="6019" w:type="dxa"/>
          </w:tcPr>
          <w:p w14:paraId="257D7E66">
            <w:pPr>
              <w:widowControl w:val="0"/>
              <w:spacing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**大学</w:t>
            </w:r>
          </w:p>
          <w:p w14:paraId="5A66D7A9">
            <w:pPr>
              <w:widowControl w:val="0"/>
              <w:spacing w:line="480" w:lineRule="exact"/>
              <w:jc w:val="both"/>
            </w:pPr>
          </w:p>
        </w:tc>
      </w:tr>
      <w:tr w14:paraId="68AB1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2126" w:type="dxa"/>
            <w:vAlign w:val="center"/>
          </w:tcPr>
          <w:p w14:paraId="732A56D2">
            <w:pPr>
              <w:widowControl w:val="0"/>
              <w:spacing w:before="100" w:beforeAutospacing="1" w:after="100" w:afterAutospacing="1" w:line="480" w:lineRule="exact"/>
              <w:jc w:val="both"/>
              <w:rPr>
                <w:rFonts w:ascii="仿宋" w:hAnsi="仿宋" w:eastAsia="仿宋" w:cs="仿宋"/>
                <w:b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</w:rPr>
              <w:t>赛事支持：</w:t>
            </w:r>
          </w:p>
        </w:tc>
        <w:tc>
          <w:tcPr>
            <w:tcW w:w="6019" w:type="dxa"/>
            <w:vAlign w:val="center"/>
          </w:tcPr>
          <w:p w14:paraId="3A51A170">
            <w:pPr>
              <w:widowControl w:val="0"/>
              <w:spacing w:before="100" w:beforeAutospacing="1" w:after="100" w:afterAutospacing="1" w:line="480" w:lineRule="exact"/>
              <w:jc w:val="both"/>
              <w:rPr>
                <w:rFonts w:hint="eastAsia" w:ascii="仿宋" w:hAnsi="仿宋" w:eastAsia="仿宋" w:cs="仿宋"/>
                <w:b/>
                <w:sz w:val="40"/>
                <w:szCs w:val="4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40"/>
                <w:szCs w:val="40"/>
                <w:highlight w:val="none"/>
              </w:rPr>
              <w:t>中汇(浙江)税务师事务所有限公司</w:t>
            </w:r>
            <w:r>
              <w:rPr>
                <w:rFonts w:hint="eastAsia" w:ascii="仿宋" w:hAnsi="仿宋" w:eastAsia="仿宋" w:cs="仿宋"/>
                <w:b/>
                <w:sz w:val="40"/>
                <w:szCs w:val="4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40"/>
                <w:szCs w:val="40"/>
                <w:highlight w:val="none"/>
                <w:lang w:val="en-US" w:eastAsia="zh-CN"/>
              </w:rPr>
              <w:t>可依实际情况定</w:t>
            </w:r>
            <w:r>
              <w:rPr>
                <w:rFonts w:hint="eastAsia" w:ascii="仿宋" w:hAnsi="仿宋" w:eastAsia="仿宋" w:cs="仿宋"/>
                <w:b/>
                <w:sz w:val="40"/>
                <w:szCs w:val="40"/>
                <w:highlight w:val="none"/>
                <w:lang w:eastAsia="zh-CN"/>
              </w:rPr>
              <w:t>）</w:t>
            </w:r>
          </w:p>
        </w:tc>
      </w:tr>
    </w:tbl>
    <w:p w14:paraId="2AE12AE9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4B8FBA48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63EA3492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2AEFABC4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479D592A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7A728DBA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17B400E0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6F923EDB">
      <w:pPr>
        <w:spacing w:line="48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全</w:t>
      </w:r>
      <w:r>
        <w:rPr>
          <w:rFonts w:hint="eastAsia" w:ascii="仿宋" w:hAnsi="仿宋" w:eastAsia="仿宋"/>
          <w:b/>
          <w:sz w:val="28"/>
          <w:szCs w:val="28"/>
        </w:rPr>
        <w:t>国本科院校税收风险管控案例大赛组委会</w:t>
      </w:r>
    </w:p>
    <w:p w14:paraId="39AD9361">
      <w:pPr>
        <w:spacing w:line="48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06</w:t>
      </w:r>
      <w:r>
        <w:rPr>
          <w:rFonts w:hint="eastAsia" w:ascii="仿宋" w:hAnsi="仿宋" w:eastAsia="仿宋" w:cs="仿宋"/>
          <w:b/>
          <w:sz w:val="28"/>
          <w:szCs w:val="28"/>
        </w:rPr>
        <w:t>月</w:t>
      </w:r>
    </w:p>
    <w:p w14:paraId="52FBC0EF">
      <w:pPr>
        <w:pStyle w:val="11"/>
        <w:tabs>
          <w:tab w:val="right" w:leader="dot" w:pos="9630"/>
        </w:tabs>
        <w:spacing w:line="480" w:lineRule="exact"/>
        <w:ind w:left="0" w:leftChars="0"/>
        <w:jc w:val="center"/>
        <w:rPr>
          <w:rFonts w:ascii="仿宋" w:hAnsi="仿宋" w:eastAsia="仿宋"/>
          <w:b/>
          <w:bCs/>
          <w:sz w:val="44"/>
          <w:szCs w:val="28"/>
        </w:rPr>
      </w:pPr>
      <w:r>
        <w:rPr>
          <w:rFonts w:hint="eastAsia" w:ascii="仿宋" w:hAnsi="仿宋" w:eastAsia="仿宋"/>
          <w:b/>
          <w:bCs/>
          <w:sz w:val="44"/>
          <w:szCs w:val="28"/>
        </w:rPr>
        <w:t>目  录</w:t>
      </w:r>
    </w:p>
    <w:sdt>
      <w:sdtP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zh-CN"/>
        </w:rPr>
        <w:id w:val="-787973848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F2582B8">
          <w:pPr>
            <w:pStyle w:val="29"/>
            <w:spacing w:line="420" w:lineRule="exact"/>
          </w:pPr>
        </w:p>
        <w:p w14:paraId="33D4E4DF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"_Toc201848747" </w:instrText>
          </w:r>
          <w:r>
            <w:fldChar w:fldCharType="separate"/>
          </w:r>
          <w:r>
            <w:rPr>
              <w:rStyle w:val="19"/>
              <w:rFonts w:ascii="黑体" w:hAnsi="黑体" w:cs="黑体"/>
            </w:rPr>
            <w:t>一、大赛组织</w:t>
          </w:r>
          <w:r>
            <w:tab/>
          </w:r>
          <w:r>
            <w:fldChar w:fldCharType="begin"/>
          </w:r>
          <w:r>
            <w:instrText xml:space="preserve"> PAGEREF _Toc201848747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95D193B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"_Toc201848748" </w:instrText>
          </w:r>
          <w:r>
            <w:fldChar w:fldCharType="separate"/>
          </w:r>
          <w:r>
            <w:rPr>
              <w:rStyle w:val="19"/>
              <w:rFonts w:ascii="黑体" w:hAnsi="黑体"/>
            </w:rPr>
            <w:t>二、大赛报名</w:t>
          </w:r>
          <w:r>
            <w:tab/>
          </w:r>
          <w:r>
            <w:fldChar w:fldCharType="begin"/>
          </w:r>
          <w:r>
            <w:instrText xml:space="preserve"> PAGEREF _Toc201848748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39D9438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"_Toc201848749"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（一）</w:t>
          </w:r>
          <w:r>
            <w:rPr>
              <w:rStyle w:val="19"/>
              <w:rFonts w:ascii="仿宋" w:hAnsi="仿宋" w:eastAsia="仿宋"/>
              <w:b/>
              <w:bCs/>
            </w:rPr>
            <w:t>报名截止时间</w:t>
          </w:r>
          <w:r>
            <w:tab/>
          </w:r>
          <w:r>
            <w:fldChar w:fldCharType="begin"/>
          </w:r>
          <w:r>
            <w:instrText xml:space="preserve"> PAGEREF _Toc201848749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5F4C137D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"_Toc201848750"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（二）</w:t>
          </w:r>
          <w:r>
            <w:rPr>
              <w:rStyle w:val="19"/>
              <w:rFonts w:ascii="仿宋" w:hAnsi="仿宋" w:eastAsia="仿宋"/>
              <w:b/>
              <w:bCs/>
            </w:rPr>
            <w:t>报名方式</w:t>
          </w:r>
          <w:r>
            <w:tab/>
          </w:r>
          <w:r>
            <w:fldChar w:fldCharType="begin"/>
          </w:r>
          <w:r>
            <w:instrText xml:space="preserve"> PAGEREF _Toc201848750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049498E0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"_Toc201848751"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（三）</w:t>
          </w:r>
          <w:r>
            <w:rPr>
              <w:rStyle w:val="19"/>
              <w:rFonts w:ascii="仿宋" w:hAnsi="仿宋" w:eastAsia="仿宋"/>
              <w:b/>
              <w:bCs/>
            </w:rPr>
            <w:t>选手资格</w:t>
          </w:r>
          <w:r>
            <w:tab/>
          </w:r>
          <w:r>
            <w:fldChar w:fldCharType="begin"/>
          </w:r>
          <w:r>
            <w:instrText xml:space="preserve"> PAGEREF _Toc201848751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53B98385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"_Toc201848752"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（四）</w:t>
          </w:r>
          <w:r>
            <w:rPr>
              <w:rStyle w:val="19"/>
              <w:rFonts w:ascii="仿宋" w:hAnsi="仿宋" w:eastAsia="仿宋"/>
              <w:b/>
              <w:bCs/>
            </w:rPr>
            <w:t>组队方式</w:t>
          </w:r>
          <w:r>
            <w:tab/>
          </w:r>
          <w:r>
            <w:fldChar w:fldCharType="begin"/>
          </w:r>
          <w:r>
            <w:instrText xml:space="preserve"> PAGEREF _Toc201848752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0EF75D5C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"_Toc201848753" </w:instrText>
          </w:r>
          <w:r>
            <w:fldChar w:fldCharType="separate"/>
          </w:r>
          <w:r>
            <w:rPr>
              <w:rStyle w:val="19"/>
              <w:rFonts w:ascii="黑体" w:hAnsi="黑体"/>
            </w:rPr>
            <w:t>三、分区赛竞赛内容与要求</w:t>
          </w:r>
          <w:r>
            <w:tab/>
          </w:r>
          <w:r>
            <w:fldChar w:fldCharType="begin"/>
          </w:r>
          <w:r>
            <w:instrText xml:space="preserve"> PAGEREF _Toc201848753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42C5564F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"_Toc201848754"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（一）</w:t>
          </w:r>
          <w:r>
            <w:rPr>
              <w:rStyle w:val="19"/>
              <w:rFonts w:ascii="仿宋" w:hAnsi="仿宋" w:eastAsia="仿宋"/>
              <w:b/>
              <w:bCs/>
            </w:rPr>
            <w:t>案例设计要求</w:t>
          </w:r>
          <w:r>
            <w:tab/>
          </w:r>
          <w:r>
            <w:fldChar w:fldCharType="begin"/>
          </w:r>
          <w:r>
            <w:instrText xml:space="preserve"> PAGEREF _Toc201848754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278CDDE8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"_Toc201848755"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（二）</w:t>
          </w:r>
          <w:r>
            <w:rPr>
              <w:rStyle w:val="19"/>
              <w:rFonts w:ascii="仿宋" w:hAnsi="仿宋" w:eastAsia="仿宋"/>
              <w:b/>
              <w:bCs/>
            </w:rPr>
            <w:t>案例内容要求</w:t>
          </w:r>
          <w:r>
            <w:tab/>
          </w:r>
          <w:r>
            <w:fldChar w:fldCharType="begin"/>
          </w:r>
          <w:r>
            <w:instrText xml:space="preserve"> PAGEREF _Toc201848755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 w14:paraId="6229D283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"_Toc201848756"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（三）</w:t>
          </w:r>
          <w:r>
            <w:rPr>
              <w:rStyle w:val="19"/>
              <w:rFonts w:ascii="仿宋" w:hAnsi="仿宋" w:eastAsia="仿宋"/>
              <w:b/>
              <w:bCs/>
            </w:rPr>
            <w:t>案例文本要求</w:t>
          </w:r>
          <w:r>
            <w:tab/>
          </w:r>
          <w:r>
            <w:fldChar w:fldCharType="begin"/>
          </w:r>
          <w:r>
            <w:instrText xml:space="preserve"> PAGEREF _Toc201848756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797DE57F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"_Toc201848757"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（四）</w:t>
          </w:r>
          <w:r>
            <w:rPr>
              <w:rStyle w:val="19"/>
              <w:rFonts w:ascii="仿宋" w:hAnsi="仿宋" w:eastAsia="仿宋"/>
              <w:b/>
              <w:bCs/>
            </w:rPr>
            <w:t>案例分析要点</w:t>
          </w:r>
          <w:r>
            <w:tab/>
          </w:r>
          <w:r>
            <w:fldChar w:fldCharType="begin"/>
          </w:r>
          <w:r>
            <w:instrText xml:space="preserve"> PAGEREF _Toc201848757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6DDA2747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"_Toc201848758"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（五）</w:t>
          </w:r>
          <w:r>
            <w:rPr>
              <w:rStyle w:val="19"/>
              <w:rFonts w:ascii="仿宋" w:hAnsi="仿宋" w:eastAsia="仿宋"/>
              <w:b/>
              <w:bCs/>
            </w:rPr>
            <w:t>案例提交</w:t>
          </w:r>
          <w:r>
            <w:tab/>
          </w:r>
          <w:r>
            <w:fldChar w:fldCharType="begin"/>
          </w:r>
          <w:r>
            <w:instrText xml:space="preserve"> PAGEREF _Toc201848758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6521CF98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"_Toc201848759" </w:instrText>
          </w:r>
          <w:r>
            <w:fldChar w:fldCharType="separate"/>
          </w:r>
          <w:r>
            <w:rPr>
              <w:rStyle w:val="19"/>
              <w:rFonts w:ascii="黑体" w:hAnsi="黑体"/>
            </w:rPr>
            <w:t>四、分区赛案例评分规则</w:t>
          </w:r>
          <w:r>
            <w:tab/>
          </w:r>
          <w:r>
            <w:fldChar w:fldCharType="begin"/>
          </w:r>
          <w:r>
            <w:instrText xml:space="preserve"> PAGEREF _Toc201848759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5D25DD59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"_Toc201848760" </w:instrText>
          </w:r>
          <w:r>
            <w:fldChar w:fldCharType="separate"/>
          </w:r>
          <w:r>
            <w:rPr>
              <w:rStyle w:val="19"/>
              <w:rFonts w:ascii="黑体" w:hAnsi="黑体"/>
            </w:rPr>
            <w:t>五、参赛队伍晋级规定</w:t>
          </w:r>
          <w:r>
            <w:tab/>
          </w:r>
          <w:r>
            <w:fldChar w:fldCharType="begin"/>
          </w:r>
          <w:r>
            <w:instrText xml:space="preserve"> PAGEREF _Toc201848760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10A98516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"_Toc201848761" </w:instrText>
          </w:r>
          <w:r>
            <w:fldChar w:fldCharType="separate"/>
          </w:r>
          <w:r>
            <w:rPr>
              <w:rStyle w:val="19"/>
              <w:rFonts w:ascii="黑体" w:hAnsi="黑体"/>
            </w:rPr>
            <w:t>六、分区赛奖项</w:t>
          </w:r>
          <w:r>
            <w:tab/>
          </w:r>
          <w:r>
            <w:fldChar w:fldCharType="begin"/>
          </w:r>
          <w:r>
            <w:instrText xml:space="preserve"> PAGEREF _Toc201848761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52636A18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"_Toc201848762" </w:instrText>
          </w:r>
          <w:r>
            <w:fldChar w:fldCharType="separate"/>
          </w:r>
          <w:r>
            <w:rPr>
              <w:rStyle w:val="19"/>
              <w:rFonts w:ascii="仿宋" w:hAnsi="仿宋" w:eastAsia="仿宋" w:cs="仿宋"/>
              <w:b/>
              <w:bCs/>
            </w:rPr>
            <w:t>（一）奖项设置</w:t>
          </w:r>
          <w:r>
            <w:tab/>
          </w:r>
          <w:r>
            <w:fldChar w:fldCharType="begin"/>
          </w:r>
          <w:r>
            <w:instrText xml:space="preserve"> PAGEREF _Toc201848762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4AE9F109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"_Toc201848763" </w:instrText>
          </w:r>
          <w:r>
            <w:fldChar w:fldCharType="separate"/>
          </w:r>
          <w:r>
            <w:rPr>
              <w:rStyle w:val="19"/>
              <w:rFonts w:ascii="仿宋" w:hAnsi="仿宋" w:eastAsia="仿宋"/>
              <w:b/>
              <w:bCs/>
            </w:rPr>
            <w:t>（二）其他说明</w:t>
          </w:r>
          <w:r>
            <w:tab/>
          </w:r>
          <w:r>
            <w:fldChar w:fldCharType="begin"/>
          </w:r>
          <w:r>
            <w:instrText xml:space="preserve"> PAGEREF _Toc201848763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0BD0C9B4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"_Toc201848764" </w:instrText>
          </w:r>
          <w:r>
            <w:fldChar w:fldCharType="separate"/>
          </w:r>
          <w:r>
            <w:rPr>
              <w:rStyle w:val="19"/>
              <w:rFonts w:ascii="黑体" w:hAnsi="黑体"/>
            </w:rPr>
            <w:t>七、分区赛联系人及联系方式</w:t>
          </w:r>
          <w:r>
            <w:tab/>
          </w:r>
          <w:r>
            <w:fldChar w:fldCharType="begin"/>
          </w:r>
          <w:r>
            <w:instrText xml:space="preserve"> PAGEREF _Toc201848764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63D6B34A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"_Toc201848765"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  <w:b/>
              <w:bCs/>
            </w:rPr>
            <w:t>（一）大赛组委会秘书处（***大学）</w:t>
          </w:r>
          <w:r>
            <w:tab/>
          </w:r>
          <w:r>
            <w:fldChar w:fldCharType="begin"/>
          </w:r>
          <w:r>
            <w:instrText xml:space="preserve"> PAGEREF _Toc201848765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3EA900DD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"_Toc201848766"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  <w:b/>
              <w:bCs/>
            </w:rPr>
            <w:t>（二）网站服务</w:t>
          </w:r>
          <w:r>
            <w:tab/>
          </w:r>
          <w:r>
            <w:fldChar w:fldCharType="begin"/>
          </w:r>
          <w:r>
            <w:instrText xml:space="preserve"> PAGEREF _Toc201848766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7492F619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"_Toc201848767"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</w:rPr>
            <w:t>附件1：2025年全国本科院校税收风险管控案例大赛案例编写规范</w:t>
          </w:r>
          <w:r>
            <w:tab/>
          </w:r>
          <w:r>
            <w:fldChar w:fldCharType="begin"/>
          </w:r>
          <w:r>
            <w:instrText xml:space="preserve"> PAGEREF _Toc201848767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44F818CA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"_Toc201848768"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</w:rPr>
            <w:t>附件2：2025年全国本科院校税收风险管控案例大赛总决赛参赛确认函</w:t>
          </w:r>
          <w:r>
            <w:tab/>
          </w:r>
          <w:r>
            <w:fldChar w:fldCharType="begin"/>
          </w:r>
          <w:r>
            <w:instrText xml:space="preserve"> PAGEREF _Toc201848768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7CDBD306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"_Toc201848769"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</w:rPr>
            <w:t>附件3：竞赛案例原创性承诺函</w:t>
          </w:r>
          <w:r>
            <w:tab/>
          </w:r>
          <w:r>
            <w:fldChar w:fldCharType="begin"/>
          </w:r>
          <w:r>
            <w:instrText xml:space="preserve"> PAGEREF _Toc201848769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183B7EA0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"_Toc201848770"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</w:rPr>
            <w:t>附件4：2025年全国本科院校税收风险管控案例大赛缴费说明</w:t>
          </w:r>
          <w:r>
            <w:tab/>
          </w:r>
          <w:r>
            <w:fldChar w:fldCharType="begin"/>
          </w:r>
          <w:r>
            <w:instrText xml:space="preserve"> PAGEREF _Toc201848770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3D7573E7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"_Toc201848771"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</w:rPr>
            <w:t>附件5：2025年全国本科院校税收风控大赛缴费发票合并开具信息统计表</w:t>
          </w:r>
          <w:r>
            <w:tab/>
          </w:r>
          <w:r>
            <w:fldChar w:fldCharType="begin"/>
          </w:r>
          <w:r>
            <w:instrText xml:space="preserve"> PAGEREF _Toc201848771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5DEC2C19">
          <w:pPr>
            <w:pStyle w:val="11"/>
            <w:tabs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"_Toc201848772" </w:instrText>
          </w:r>
          <w:r>
            <w:fldChar w:fldCharType="separate"/>
          </w:r>
          <w:r>
            <w:rPr>
              <w:rStyle w:val="19"/>
              <w:rFonts w:ascii="华文仿宋" w:hAnsi="华文仿宋" w:eastAsia="华文仿宋"/>
            </w:rPr>
            <w:t>附件6：全国本科院校税收风险管控案例大赛参赛系统使用指南</w:t>
          </w:r>
          <w:r>
            <w:tab/>
          </w:r>
          <w:r>
            <w:fldChar w:fldCharType="begin"/>
          </w:r>
          <w:r>
            <w:instrText xml:space="preserve"> PAGEREF _Toc201848772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0D9AFC23">
          <w:pPr>
            <w:spacing w:line="420" w:lineRule="exact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0E7B86BF">
      <w:pPr>
        <w:spacing w:line="480" w:lineRule="exact"/>
        <w:ind w:firstLine="448" w:firstLineChars="1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全国本科院校税收风险管控案例大赛”是入选中国高等教育学会发布的《全国普通高校学科竞赛排行榜》榜单的国家级竞赛，是目前全国本科院校参与人数最多、范围最广、规模最大、规格最高、最具影响力的财税专业领域赛事之一。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年全国本科院校税收风险管控案例大赛即将进行，为在公开、公平、公正原则下保证分区赛有序、高效地顺利进行，成功推出晋级院校参与总决赛，根据“全国本科院校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税收</w:t>
      </w:r>
      <w:r>
        <w:rPr>
          <w:rFonts w:hint="eastAsia" w:ascii="仿宋" w:hAnsi="仿宋" w:eastAsia="仿宋" w:cs="仿宋"/>
          <w:sz w:val="28"/>
          <w:szCs w:val="28"/>
        </w:rPr>
        <w:t>风险管控案例大赛”组委会意见，特制定202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年“全国本科院校税收风险管控案例大赛**省分区赛竞赛规程”：</w:t>
      </w:r>
    </w:p>
    <w:p w14:paraId="33ECFC11">
      <w:pPr>
        <w:spacing w:line="480" w:lineRule="exact"/>
        <w:ind w:firstLine="448" w:firstLineChars="160"/>
        <w:rPr>
          <w:rFonts w:ascii="仿宋" w:hAnsi="仿宋" w:eastAsia="仿宋" w:cs="仿宋"/>
          <w:sz w:val="28"/>
          <w:szCs w:val="28"/>
        </w:rPr>
      </w:pPr>
    </w:p>
    <w:p w14:paraId="258EF83C">
      <w:pPr>
        <w:pStyle w:val="4"/>
        <w:spacing w:before="0" w:after="0" w:line="480" w:lineRule="exact"/>
        <w:ind w:firstLine="640" w:firstLineChars="200"/>
        <w:rPr>
          <w:rFonts w:ascii="仿宋" w:hAnsi="仿宋" w:eastAsia="仿宋" w:cs="仿宋"/>
          <w:b w:val="0"/>
          <w:sz w:val="28"/>
          <w:szCs w:val="28"/>
        </w:rPr>
      </w:pPr>
      <w:bookmarkStart w:id="0" w:name="_Toc514422915"/>
      <w:bookmarkStart w:id="1" w:name="_Toc201848747"/>
      <w:bookmarkStart w:id="2" w:name="_Toc85710001"/>
      <w:r>
        <w:rPr>
          <w:rFonts w:hint="eastAsia" w:ascii="黑体" w:hAnsi="黑体" w:cs="黑体"/>
          <w:b w:val="0"/>
          <w:szCs w:val="28"/>
        </w:rPr>
        <w:t>一</w:t>
      </w:r>
      <w:bookmarkEnd w:id="0"/>
      <w:bookmarkStart w:id="3" w:name="_Toc514422916"/>
      <w:r>
        <w:rPr>
          <w:rFonts w:hint="eastAsia" w:ascii="黑体" w:hAnsi="黑体" w:cs="黑体"/>
          <w:b w:val="0"/>
          <w:szCs w:val="28"/>
        </w:rPr>
        <w:t>、大赛组织</w:t>
      </w:r>
      <w:bookmarkEnd w:id="1"/>
      <w:bookmarkEnd w:id="2"/>
      <w:bookmarkEnd w:id="3"/>
    </w:p>
    <w:p w14:paraId="78D5EA63">
      <w:pPr>
        <w:adjustRightInd w:val="0"/>
        <w:snapToGrid w:val="0"/>
        <w:spacing w:line="480" w:lineRule="exact"/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大赛名称：202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年全国本科院校税收风险管控案例大赛**省分区赛</w:t>
      </w:r>
    </w:p>
    <w:p w14:paraId="418DDAF1">
      <w:pPr>
        <w:adjustRightInd w:val="0"/>
        <w:snapToGrid w:val="0"/>
        <w:spacing w:line="480" w:lineRule="exact"/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大赛主办方：全国本科院校税收风险管控案例大赛组委会</w:t>
      </w:r>
    </w:p>
    <w:p w14:paraId="13971806">
      <w:pPr>
        <w:adjustRightInd w:val="0"/>
        <w:snapToGrid w:val="0"/>
        <w:spacing w:line="480" w:lineRule="exact"/>
        <w:ind w:firstLine="425" w:firstLineChars="152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指导单位：全国税务专业学位研究生教育指导委员会</w:t>
      </w:r>
    </w:p>
    <w:p w14:paraId="66A859AD">
      <w:pPr>
        <w:adjustRightInd w:val="0"/>
        <w:snapToGrid w:val="0"/>
        <w:spacing w:line="480" w:lineRule="exact"/>
        <w:ind w:firstLine="1825" w:firstLineChars="6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***</w:t>
      </w:r>
    </w:p>
    <w:p w14:paraId="7A151681">
      <w:pPr>
        <w:adjustRightInd w:val="0"/>
        <w:snapToGrid w:val="0"/>
        <w:spacing w:line="480" w:lineRule="exact"/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大赛承办单位： **大学</w:t>
      </w:r>
    </w:p>
    <w:p w14:paraId="160D5398">
      <w:pPr>
        <w:adjustRightInd w:val="0"/>
        <w:snapToGrid w:val="0"/>
        <w:spacing w:line="480" w:lineRule="exact"/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赛事支持：中汇(浙江)税务师事务所有限公司（可依实际情况定）</w:t>
      </w:r>
    </w:p>
    <w:p w14:paraId="184CA418">
      <w:pPr>
        <w:adjustRightInd w:val="0"/>
        <w:snapToGrid w:val="0"/>
        <w:spacing w:line="480" w:lineRule="exact"/>
        <w:ind w:firstLine="630" w:firstLineChars="225"/>
        <w:rPr>
          <w:rFonts w:ascii="仿宋" w:hAnsi="仿宋" w:eastAsia="仿宋" w:cs="仿宋"/>
          <w:sz w:val="28"/>
          <w:szCs w:val="28"/>
        </w:rPr>
      </w:pPr>
    </w:p>
    <w:p w14:paraId="4F3FF732">
      <w:pPr>
        <w:pStyle w:val="4"/>
        <w:spacing w:before="0" w:after="0" w:line="480" w:lineRule="exact"/>
        <w:ind w:left="420" w:leftChars="200"/>
        <w:rPr>
          <w:rFonts w:ascii="黑体" w:hAnsi="黑体"/>
          <w:b w:val="0"/>
          <w:szCs w:val="28"/>
        </w:rPr>
      </w:pPr>
      <w:bookmarkStart w:id="4" w:name="_Toc85710002"/>
      <w:bookmarkStart w:id="5" w:name="_Toc201848748"/>
      <w:r>
        <w:rPr>
          <w:rFonts w:hint="eastAsia" w:ascii="黑体" w:hAnsi="黑体"/>
          <w:b w:val="0"/>
          <w:szCs w:val="28"/>
        </w:rPr>
        <w:t>二、大赛报名</w:t>
      </w:r>
      <w:bookmarkEnd w:id="4"/>
      <w:bookmarkEnd w:id="5"/>
    </w:p>
    <w:p w14:paraId="63FB2822">
      <w:pPr>
        <w:widowControl w:val="0"/>
        <w:spacing w:line="480" w:lineRule="exact"/>
        <w:ind w:firstLine="560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6" w:name="_Toc201848749"/>
      <w:r>
        <w:rPr>
          <w:rFonts w:hint="eastAsia" w:ascii="仿宋" w:hAnsi="仿宋" w:eastAsia="仿宋" w:cs="仿宋"/>
          <w:b/>
          <w:bCs/>
          <w:sz w:val="28"/>
          <w:szCs w:val="28"/>
        </w:rPr>
        <w:t>（一）</w:t>
      </w:r>
      <w:r>
        <w:rPr>
          <w:rFonts w:hint="eastAsia" w:ascii="仿宋" w:hAnsi="仿宋" w:eastAsia="仿宋"/>
          <w:b/>
          <w:bCs/>
          <w:sz w:val="28"/>
          <w:szCs w:val="28"/>
        </w:rPr>
        <w:t>报名截止时间</w:t>
      </w:r>
      <w:bookmarkEnd w:id="6"/>
    </w:p>
    <w:p w14:paraId="353F7A91">
      <w:pPr>
        <w:adjustRightInd w:val="0"/>
        <w:snapToGrid w:val="0"/>
        <w:spacing w:line="480" w:lineRule="exact"/>
        <w:ind w:firstLine="635" w:firstLineChars="227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ascii="仿宋" w:hAnsi="仿宋" w:eastAsia="仿宋" w:cs="仿宋"/>
          <w:sz w:val="28"/>
          <w:szCs w:val="28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0日</w:t>
      </w:r>
    </w:p>
    <w:p w14:paraId="5F4DDAD3">
      <w:pPr>
        <w:widowControl w:val="0"/>
        <w:spacing w:line="480" w:lineRule="exact"/>
        <w:ind w:firstLine="560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7" w:name="_Toc201848750"/>
      <w:r>
        <w:rPr>
          <w:rFonts w:hint="eastAsia" w:ascii="仿宋" w:hAnsi="仿宋" w:eastAsia="仿宋" w:cs="仿宋"/>
          <w:b/>
          <w:bCs/>
          <w:sz w:val="28"/>
          <w:szCs w:val="28"/>
        </w:rPr>
        <w:t>（二）</w:t>
      </w:r>
      <w:r>
        <w:rPr>
          <w:rFonts w:hint="eastAsia" w:ascii="仿宋" w:hAnsi="仿宋" w:eastAsia="仿宋"/>
          <w:b/>
          <w:bCs/>
          <w:sz w:val="28"/>
          <w:szCs w:val="28"/>
        </w:rPr>
        <w:t>报名方式</w:t>
      </w:r>
      <w:bookmarkEnd w:id="7"/>
    </w:p>
    <w:p w14:paraId="0E7CBC69">
      <w:pPr>
        <w:spacing w:line="480" w:lineRule="exact"/>
        <w:ind w:firstLine="540"/>
        <w:rPr>
          <w:rFonts w:hint="eastAsia" w:ascii="仿宋" w:hAnsi="仿宋" w:eastAsia="仿宋"/>
          <w:sz w:val="28"/>
          <w:szCs w:val="28"/>
        </w:rPr>
      </w:pPr>
      <w:bookmarkStart w:id="8" w:name="_Toc132726479"/>
      <w:r>
        <w:rPr>
          <w:rFonts w:hint="eastAsia" w:ascii="仿宋" w:hAnsi="仿宋" w:eastAsia="仿宋"/>
          <w:sz w:val="28"/>
          <w:szCs w:val="28"/>
        </w:rPr>
        <w:t>通过全国本科院校税收风险管控案例大赛官方网站报名（http://ssfkds.moocollege.com）。同时在大赛官方微信公众号平台提供报名入口。</w:t>
      </w:r>
    </w:p>
    <w:bookmarkEnd w:id="8"/>
    <w:p w14:paraId="5905C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sz w:val="28"/>
          <w:szCs w:val="21"/>
        </w:rPr>
      </w:pPr>
      <w:bookmarkStart w:id="9" w:name="_Toc26488"/>
      <w:bookmarkStart w:id="10" w:name="_Toc17978"/>
      <w:bookmarkStart w:id="11" w:name="_Toc1606"/>
      <w:bookmarkStart w:id="12" w:name="_Toc5137"/>
      <w:bookmarkStart w:id="13" w:name="_Toc201848753"/>
      <w:r>
        <w:rPr>
          <w:rFonts w:hint="eastAsia" w:ascii="仿宋" w:hAnsi="仿宋" w:eastAsia="仿宋" w:cs="仿宋"/>
          <w:b/>
          <w:bCs/>
          <w:sz w:val="28"/>
          <w:szCs w:val="21"/>
        </w:rPr>
        <w:t>（三）选手资格</w:t>
      </w:r>
      <w:bookmarkEnd w:id="9"/>
      <w:bookmarkEnd w:id="10"/>
      <w:bookmarkEnd w:id="11"/>
      <w:bookmarkEnd w:id="12"/>
    </w:p>
    <w:p w14:paraId="3ADC7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大赛为团体赛，参赛选手须为全日制高等院校在校生（含本科生和研究生）</w:t>
      </w:r>
      <w:r>
        <w:rPr>
          <w:rFonts w:hint="eastAsia" w:ascii="仿宋" w:hAnsi="仿宋" w:eastAsia="仿宋" w:cs="仿宋"/>
          <w:b/>
          <w:bCs/>
          <w:sz w:val="28"/>
          <w:szCs w:val="21"/>
        </w:rPr>
        <w:t>。</w:t>
      </w:r>
    </w:p>
    <w:p w14:paraId="44F1C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outlineLvl w:val="1"/>
        <w:rPr>
          <w:rFonts w:hint="eastAsia" w:ascii="仿宋" w:hAnsi="仿宋" w:eastAsia="仿宋" w:cs="仿宋"/>
          <w:b/>
          <w:bCs/>
          <w:sz w:val="28"/>
          <w:szCs w:val="21"/>
        </w:rPr>
      </w:pPr>
      <w:bookmarkStart w:id="14" w:name="_Toc18002"/>
      <w:bookmarkStart w:id="15" w:name="_Toc30846"/>
      <w:bookmarkStart w:id="16" w:name="_Toc6586"/>
      <w:bookmarkStart w:id="17" w:name="_Toc10351"/>
      <w:r>
        <w:rPr>
          <w:rFonts w:hint="eastAsia" w:ascii="仿宋" w:hAnsi="仿宋" w:eastAsia="仿宋" w:cs="仿宋"/>
          <w:b/>
          <w:bCs/>
          <w:sz w:val="28"/>
          <w:szCs w:val="21"/>
        </w:rPr>
        <w:t>（四）组队</w:t>
      </w:r>
      <w:bookmarkEnd w:id="14"/>
      <w:r>
        <w:rPr>
          <w:rFonts w:hint="eastAsia" w:ascii="仿宋" w:hAnsi="仿宋" w:eastAsia="仿宋" w:cs="仿宋"/>
          <w:b/>
          <w:bCs/>
          <w:sz w:val="28"/>
          <w:szCs w:val="21"/>
        </w:rPr>
        <w:t>规则</w:t>
      </w:r>
      <w:bookmarkEnd w:id="15"/>
      <w:bookmarkEnd w:id="16"/>
      <w:bookmarkEnd w:id="17"/>
    </w:p>
    <w:p w14:paraId="0FFE2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1. 每支参赛队伍由3名选手组成，可配1-3名专业指导老师，并确定其中一名指导老师为领队。指导老师可为高校教师、行业导师等。一名指导教师可同时带多支队伍。一名学生仅能参加一支队伍，一支队伍只能提交一份案例。</w:t>
      </w:r>
    </w:p>
    <w:p w14:paraId="7341D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2. 校内赛由各参赛单位自行组织，选出代表学校参与分区赛的队伍。</w:t>
      </w:r>
    </w:p>
    <w:p w14:paraId="48D1C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3. 分区赛以校为单位组队参赛，不得跨校组队。</w:t>
      </w:r>
    </w:p>
    <w:p w14:paraId="10E9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4. 总决赛参赛队由分区赛产生，每校晋级总决赛参赛队伍数不限。</w:t>
      </w:r>
    </w:p>
    <w:p w14:paraId="72BCA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5. 参赛院校应以二级教学单位名义组织报名，支持跨学院组队。</w:t>
      </w:r>
    </w:p>
    <w:p w14:paraId="3A50D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6. 分区赛报名成功后，不再接受参赛人员及指导教师的调整。总决赛参赛队员不得调整</w:t>
      </w:r>
      <w:bookmarkStart w:id="44" w:name="_GoBack"/>
      <w:bookmarkEnd w:id="44"/>
      <w:r>
        <w:rPr>
          <w:rFonts w:hint="eastAsia" w:ascii="仿宋" w:hAnsi="仿宋" w:eastAsia="仿宋" w:cs="仿宋"/>
          <w:sz w:val="28"/>
          <w:szCs w:val="21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1"/>
        </w:rPr>
        <w:t>指导教师原则上不调整，特殊情况确需调整，请参赛队书面申请，说明原因。申请书格式自拟，调整前后指导教师均须签字确认，并加盖学院公章。申请书扫描件于2026年12月1日前以PDF附件形式发组委会邮箱:ssfkds@163.com，邮件主题和附件均命名为:省份+学校名+参赛队名+调整指导老师。</w:t>
      </w:r>
    </w:p>
    <w:p w14:paraId="119F4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1"/>
        </w:rPr>
      </w:pPr>
      <w:bookmarkStart w:id="18" w:name="_Toc11356"/>
      <w:bookmarkStart w:id="19" w:name="_Toc14310"/>
      <w:r>
        <w:rPr>
          <w:rFonts w:hint="eastAsia" w:ascii="仿宋" w:hAnsi="仿宋" w:eastAsia="仿宋" w:cs="仿宋"/>
          <w:b/>
          <w:bCs/>
          <w:sz w:val="28"/>
          <w:szCs w:val="21"/>
        </w:rPr>
        <w:t>（五）缴费标准与方式</w:t>
      </w:r>
      <w:bookmarkEnd w:id="18"/>
      <w:bookmarkEnd w:id="19"/>
    </w:p>
    <w:p w14:paraId="0F07E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1"/>
          <w:lang w:val="en-US" w:eastAsia="zh-CN" w:bidi="ar-SA"/>
        </w:rPr>
        <w:t>大赛报名费按一支队伍150元标准收取，费用全部用于大赛。缴费渠道、缴费信息填写及发票开具等问题见附件4与附件5。</w:t>
      </w:r>
    </w:p>
    <w:p w14:paraId="31E4F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13" w:firstLineChars="218"/>
        <w:jc w:val="both"/>
        <w:textAlignment w:val="auto"/>
        <w:rPr>
          <w:rFonts w:hint="eastAsia" w:ascii="仿宋" w:hAnsi="仿宋" w:eastAsia="仿宋" w:cs="仿宋"/>
          <w:kern w:val="2"/>
          <w:sz w:val="21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1"/>
          <w:lang w:val="en-US" w:eastAsia="zh-CN" w:bidi="ar-SA"/>
        </w:rPr>
        <w:t>特别提醒</w:t>
      </w:r>
      <w:r>
        <w:rPr>
          <w:rFonts w:hint="eastAsia" w:ascii="仿宋" w:hAnsi="仿宋" w:eastAsia="仿宋" w:cs="仿宋"/>
          <w:kern w:val="2"/>
          <w:sz w:val="28"/>
          <w:szCs w:val="21"/>
          <w:lang w:val="en-US" w:eastAsia="zh-CN" w:bidi="ar-SA"/>
        </w:rPr>
        <w:t>：</w:t>
      </w:r>
      <w:r>
        <w:rPr>
          <w:rFonts w:hint="eastAsia" w:ascii="仿宋" w:hAnsi="仿宋" w:eastAsia="仿宋" w:cs="仿宋"/>
          <w:b/>
          <w:bCs/>
          <w:kern w:val="2"/>
          <w:sz w:val="28"/>
          <w:szCs w:val="21"/>
          <w:lang w:val="en-US" w:eastAsia="zh-CN" w:bidi="ar-SA"/>
        </w:rPr>
        <w:t>交费完成后视为报名成功，不再接受退费申请。</w:t>
      </w:r>
    </w:p>
    <w:p w14:paraId="6D4E7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大赛秉承公益性，不售卖任何相关服务系统，不提供任何付费培训等。住宿、交通费由参赛方自理。</w:t>
      </w:r>
    </w:p>
    <w:p w14:paraId="32083689">
      <w:pPr>
        <w:pStyle w:val="2"/>
      </w:pPr>
    </w:p>
    <w:p w14:paraId="3C7BE605">
      <w:pPr>
        <w:pStyle w:val="4"/>
        <w:spacing w:before="0" w:after="0" w:line="480" w:lineRule="exact"/>
        <w:ind w:left="420" w:leftChars="200"/>
        <w:rPr>
          <w:rFonts w:ascii="黑体" w:hAnsi="黑体"/>
          <w:b w:val="0"/>
          <w:szCs w:val="28"/>
        </w:rPr>
      </w:pPr>
      <w:r>
        <w:rPr>
          <w:rFonts w:hint="eastAsia" w:ascii="黑体" w:hAnsi="黑体"/>
          <w:b w:val="0"/>
          <w:szCs w:val="28"/>
        </w:rPr>
        <w:t>三、分区赛竞赛内容与要求</w:t>
      </w:r>
      <w:bookmarkEnd w:id="13"/>
    </w:p>
    <w:p w14:paraId="06FFEC60">
      <w:pPr>
        <w:widowControl w:val="0"/>
        <w:spacing w:line="480" w:lineRule="exact"/>
        <w:ind w:firstLine="560"/>
        <w:jc w:val="both"/>
        <w:outlineLvl w:val="1"/>
        <w:rPr>
          <w:rFonts w:hint="eastAsia" w:ascii="仿宋" w:hAnsi="仿宋" w:eastAsia="仿宋"/>
          <w:sz w:val="28"/>
          <w:szCs w:val="28"/>
        </w:rPr>
      </w:pPr>
      <w:bookmarkStart w:id="20" w:name="_Toc201848754"/>
      <w:r>
        <w:rPr>
          <w:rFonts w:hint="eastAsia" w:ascii="仿宋" w:hAnsi="仿宋" w:eastAsia="仿宋"/>
          <w:sz w:val="28"/>
          <w:szCs w:val="28"/>
        </w:rPr>
        <w:t>分区赛的核心竞赛内容为原创涉税案例分析，参赛队伍需在规定时间内上传规定资料。</w:t>
      </w:r>
    </w:p>
    <w:p w14:paraId="032D11DB">
      <w:pPr>
        <w:widowControl w:val="0"/>
        <w:spacing w:line="480" w:lineRule="exact"/>
        <w:ind w:firstLine="560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</w:t>
      </w:r>
      <w:r>
        <w:rPr>
          <w:rFonts w:hint="eastAsia" w:ascii="仿宋" w:hAnsi="仿宋" w:eastAsia="仿宋"/>
          <w:b/>
          <w:bCs/>
          <w:sz w:val="28"/>
          <w:szCs w:val="28"/>
        </w:rPr>
        <w:t>案例设计要求</w:t>
      </w:r>
      <w:bookmarkEnd w:id="20"/>
    </w:p>
    <w:p w14:paraId="7312A8BE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before="121" w:line="480" w:lineRule="exact"/>
        <w:ind w:right="194" w:firstLine="54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每支参赛队提交一个原创案例。参赛队应通过调研、参与具体项目等方式收集第一手案例资料，并进行案例撰写和分析，并就案例背景、相关财税政策、税收理论，提出风险防控方案，以及解决问题的政策建议、实务操作建议。</w:t>
      </w:r>
    </w:p>
    <w:p w14:paraId="2DE064FB">
      <w:pPr>
        <w:widowControl w:val="0"/>
        <w:spacing w:line="480" w:lineRule="exact"/>
        <w:ind w:firstLine="560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21" w:name="_Toc201848755"/>
      <w:r>
        <w:rPr>
          <w:rFonts w:hint="eastAsia" w:ascii="仿宋" w:hAnsi="仿宋" w:eastAsia="仿宋" w:cs="仿宋"/>
          <w:b/>
          <w:bCs/>
          <w:sz w:val="28"/>
          <w:szCs w:val="28"/>
        </w:rPr>
        <w:t>（二）</w:t>
      </w:r>
      <w:r>
        <w:rPr>
          <w:rFonts w:hint="eastAsia" w:ascii="仿宋" w:hAnsi="仿宋" w:eastAsia="仿宋"/>
          <w:b/>
          <w:bCs/>
          <w:sz w:val="28"/>
          <w:szCs w:val="28"/>
        </w:rPr>
        <w:t>案例内容要求</w:t>
      </w:r>
      <w:bookmarkEnd w:id="21"/>
    </w:p>
    <w:p w14:paraId="148EC794">
      <w:pPr>
        <w:tabs>
          <w:tab w:val="left" w:pos="0"/>
        </w:tabs>
        <w:kinsoku w:val="0"/>
        <w:overflowPunct w:val="0"/>
        <w:autoSpaceDE w:val="0"/>
        <w:autoSpaceDN w:val="0"/>
        <w:adjustRightInd w:val="0"/>
        <w:spacing w:line="480" w:lineRule="exact"/>
        <w:ind w:right="135" w:firstLine="54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竞赛案例编撰应侧重从以下十大行业中选取，包括</w:t>
      </w:r>
      <w:r>
        <w:rPr>
          <w:rFonts w:ascii="仿宋" w:hAnsi="仿宋" w:eastAsia="仿宋"/>
          <w:sz w:val="28"/>
          <w:szCs w:val="28"/>
        </w:rPr>
        <w:t xml:space="preserve">: </w:t>
      </w:r>
      <w:r>
        <w:rPr>
          <w:rFonts w:hint="eastAsia" w:ascii="仿宋" w:hAnsi="仿宋" w:eastAsia="仿宋"/>
          <w:sz w:val="28"/>
          <w:szCs w:val="28"/>
        </w:rPr>
        <w:t>采掘业，制造业，电力、热力、燃气及水生产和供应业，建筑业，批发和零售业，交通运输、仓储和邮政业，信息传输、软件和信息技术服务业，金融业，房地产业，文化、体育和娱乐业。案例涉及税费种类不限制。</w:t>
      </w:r>
    </w:p>
    <w:p w14:paraId="448B3CCD">
      <w:pPr>
        <w:widowControl w:val="0"/>
        <w:spacing w:line="480" w:lineRule="exact"/>
        <w:ind w:firstLine="418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22" w:name="_Toc201848756"/>
      <w:r>
        <w:rPr>
          <w:rFonts w:hint="eastAsia" w:ascii="仿宋" w:hAnsi="仿宋" w:eastAsia="仿宋" w:cs="仿宋"/>
          <w:b/>
          <w:bCs/>
          <w:sz w:val="28"/>
          <w:szCs w:val="28"/>
        </w:rPr>
        <w:t>（三）</w:t>
      </w:r>
      <w:r>
        <w:rPr>
          <w:rFonts w:hint="eastAsia" w:ascii="仿宋" w:hAnsi="仿宋" w:eastAsia="仿宋"/>
          <w:b/>
          <w:bCs/>
          <w:sz w:val="28"/>
          <w:szCs w:val="28"/>
        </w:rPr>
        <w:t>案例文本要求</w:t>
      </w:r>
      <w:bookmarkEnd w:id="22"/>
    </w:p>
    <w:p w14:paraId="15E3D070">
      <w:pPr>
        <w:kinsoku w:val="0"/>
        <w:overflowPunct w:val="0"/>
        <w:autoSpaceDE w:val="0"/>
        <w:autoSpaceDN w:val="0"/>
        <w:adjustRightInd w:val="0"/>
        <w:spacing w:line="480" w:lineRule="exact"/>
        <w:ind w:right="239" w:firstLine="418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保密及保证评阅的公平、公正，案例企业名称统一以某公司或甲、乙、丙、丁公司来代替、区别，不得使用其他任何具有指代性的名称，不得出现具体人名等。文本正文中不得出现任何院校信息，一旦显示或说明院校信息，即失去竞赛资格。</w:t>
      </w:r>
    </w:p>
    <w:p w14:paraId="51CF7964">
      <w:pPr>
        <w:widowControl w:val="0"/>
        <w:spacing w:line="480" w:lineRule="exact"/>
        <w:ind w:firstLine="418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23" w:name="_Toc201848757"/>
      <w:r>
        <w:rPr>
          <w:rFonts w:hint="eastAsia" w:ascii="仿宋" w:hAnsi="仿宋" w:eastAsia="仿宋" w:cs="仿宋"/>
          <w:b/>
          <w:bCs/>
          <w:sz w:val="28"/>
          <w:szCs w:val="28"/>
        </w:rPr>
        <w:t>（四）</w:t>
      </w:r>
      <w:r>
        <w:rPr>
          <w:rFonts w:hint="eastAsia" w:ascii="仿宋" w:hAnsi="仿宋" w:eastAsia="仿宋"/>
          <w:b/>
          <w:bCs/>
          <w:sz w:val="28"/>
          <w:szCs w:val="28"/>
        </w:rPr>
        <w:t>案例分析要点</w:t>
      </w:r>
      <w:bookmarkEnd w:id="23"/>
    </w:p>
    <w:p w14:paraId="1F70C5A0">
      <w:pPr>
        <w:kinsoku w:val="0"/>
        <w:overflowPunct w:val="0"/>
        <w:autoSpaceDE w:val="0"/>
        <w:autoSpaceDN w:val="0"/>
        <w:adjustRightInd w:val="0"/>
        <w:spacing w:line="480" w:lineRule="exact"/>
        <w:ind w:right="239" w:firstLine="418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案例分析要点：通过税务大数据确认行业一般风险指标；通过行企背景、案情场景、案头分析等模块，按照风险点判断和结论、风险特征分析计算、风险信息排除确认、风险等级评价及应对经验策略等流程对企业风险管控进行全面评价，并进一步分析行业特征及发展趋势。（具体案例规范、案例分析文本格式，详见附件。）</w:t>
      </w:r>
    </w:p>
    <w:p w14:paraId="445A4BDD">
      <w:pPr>
        <w:widowControl w:val="0"/>
        <w:spacing w:line="480" w:lineRule="exact"/>
        <w:ind w:firstLine="418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24" w:name="_Toc201848758"/>
      <w:r>
        <w:rPr>
          <w:rFonts w:hint="eastAsia" w:ascii="仿宋" w:hAnsi="仿宋" w:eastAsia="仿宋" w:cs="仿宋"/>
          <w:b/>
          <w:bCs/>
          <w:sz w:val="28"/>
          <w:szCs w:val="28"/>
        </w:rPr>
        <w:t>（五）</w:t>
      </w:r>
      <w:r>
        <w:rPr>
          <w:rFonts w:hint="eastAsia" w:ascii="仿宋" w:hAnsi="仿宋" w:eastAsia="仿宋"/>
          <w:b/>
          <w:bCs/>
          <w:sz w:val="28"/>
          <w:szCs w:val="28"/>
        </w:rPr>
        <w:t>案例提交</w:t>
      </w:r>
      <w:bookmarkEnd w:id="24"/>
    </w:p>
    <w:p w14:paraId="54F17E65">
      <w:pPr>
        <w:widowControl w:val="0"/>
        <w:kinsoku w:val="0"/>
        <w:overflowPunct w:val="0"/>
        <w:autoSpaceDE w:val="0"/>
        <w:autoSpaceDN w:val="0"/>
        <w:adjustRightInd w:val="0"/>
        <w:spacing w:line="480" w:lineRule="exact"/>
        <w:ind w:right="109"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案例提交的截止时间为：202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年10月1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日24:00，提交入口见大赛官网。资料清单：案例分析报告（要求同时提交WORD版与PDF版）、《竞赛案例原创性承诺函》（PDF版）（见附件）。</w:t>
      </w:r>
    </w:p>
    <w:p w14:paraId="1856BD49">
      <w:pPr>
        <w:widowControl w:val="0"/>
        <w:kinsoku w:val="0"/>
        <w:overflowPunct w:val="0"/>
        <w:autoSpaceDE w:val="0"/>
        <w:autoSpaceDN w:val="0"/>
        <w:adjustRightInd w:val="0"/>
        <w:spacing w:line="480" w:lineRule="exact"/>
        <w:ind w:right="109" w:firstLine="425" w:firstLineChars="152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所提交的案例分析报告</w:t>
      </w:r>
      <w:r>
        <w:rPr>
          <w:rFonts w:hint="eastAsia" w:ascii="仿宋" w:hAnsi="仿宋" w:eastAsia="仿宋"/>
          <w:b/>
          <w:bCs/>
          <w:sz w:val="28"/>
          <w:szCs w:val="28"/>
        </w:rPr>
        <w:t>直接以案例名来命名，不得显示院校名与队伍名，在封面及正文中不能出现参赛院校及队伍信息。</w:t>
      </w:r>
      <w:r>
        <w:rPr>
          <w:rFonts w:hint="eastAsia" w:ascii="仿宋" w:hAnsi="仿宋" w:eastAsia="仿宋"/>
          <w:sz w:val="28"/>
          <w:szCs w:val="28"/>
        </w:rPr>
        <w:t>案例文本中的图表不得以截图方式展现。</w:t>
      </w:r>
    </w:p>
    <w:p w14:paraId="301EE7D5">
      <w:pPr>
        <w:widowControl w:val="0"/>
        <w:kinsoku w:val="0"/>
        <w:overflowPunct w:val="0"/>
        <w:autoSpaceDE w:val="0"/>
        <w:autoSpaceDN w:val="0"/>
        <w:adjustRightInd w:val="0"/>
        <w:spacing w:line="480" w:lineRule="exact"/>
        <w:ind w:right="109" w:firstLine="425" w:firstLineChars="152"/>
        <w:rPr>
          <w:rFonts w:ascii="仿宋" w:hAnsi="仿宋" w:eastAsia="仿宋"/>
          <w:sz w:val="28"/>
          <w:szCs w:val="28"/>
        </w:rPr>
      </w:pPr>
    </w:p>
    <w:p w14:paraId="458A387F">
      <w:pPr>
        <w:pStyle w:val="4"/>
        <w:spacing w:before="0" w:after="0" w:line="480" w:lineRule="exact"/>
        <w:ind w:left="420" w:leftChars="200"/>
        <w:rPr>
          <w:rFonts w:ascii="黑体" w:hAnsi="黑体"/>
          <w:b w:val="0"/>
          <w:szCs w:val="28"/>
        </w:rPr>
      </w:pPr>
      <w:bookmarkStart w:id="25" w:name="_Toc201848759"/>
      <w:r>
        <w:rPr>
          <w:rFonts w:hint="eastAsia" w:ascii="黑体" w:hAnsi="黑体"/>
          <w:b w:val="0"/>
          <w:szCs w:val="28"/>
        </w:rPr>
        <w:t>四、分区赛案例评分规则</w:t>
      </w:r>
      <w:bookmarkEnd w:id="25"/>
    </w:p>
    <w:p w14:paraId="1D6471A9">
      <w:pPr>
        <w:pStyle w:val="2"/>
        <w:spacing w:line="480" w:lineRule="exact"/>
        <w:ind w:left="1" w:leftChars="0" w:firstLine="565" w:firstLineChars="202"/>
        <w:rPr>
          <w:rFonts w:ascii="宋体" w:hAnsi="宋体"/>
          <w:b/>
          <w:bCs/>
          <w:sz w:val="28"/>
          <w:szCs w:val="21"/>
        </w:rPr>
      </w:pPr>
      <w:r>
        <w:rPr>
          <w:rFonts w:hint="eastAsia" w:ascii="仿宋" w:hAnsi="仿宋" w:eastAsia="仿宋"/>
          <w:sz w:val="28"/>
          <w:szCs w:val="28"/>
        </w:rPr>
        <w:t>案例评审专家组由高等院校、注册税务师协会、税务机关以及中介机构专家组成，专家评阅的平均分值为分区赛队伍得分。分数四舍五入保留两位小数，下同。具体评分点见下表：</w:t>
      </w:r>
      <w:r>
        <w:rPr>
          <w:rFonts w:hint="eastAsia" w:ascii="宋体" w:hAnsi="宋体"/>
          <w:b/>
          <w:bCs/>
          <w:sz w:val="28"/>
          <w:szCs w:val="21"/>
        </w:rPr>
        <w:t xml:space="preserve"> </w:t>
      </w:r>
      <w:r>
        <w:rPr>
          <w:rFonts w:ascii="宋体" w:hAnsi="宋体"/>
          <w:b/>
          <w:bCs/>
          <w:sz w:val="28"/>
          <w:szCs w:val="21"/>
        </w:rPr>
        <w:t xml:space="preserve"> </w:t>
      </w:r>
    </w:p>
    <w:p w14:paraId="57539DC4">
      <w:pPr>
        <w:pStyle w:val="2"/>
        <w:spacing w:line="480" w:lineRule="exact"/>
        <w:ind w:left="1" w:leftChars="0" w:firstLine="568" w:firstLineChars="202"/>
        <w:rPr>
          <w:rFonts w:ascii="宋体" w:hAnsi="宋体"/>
          <w:b/>
          <w:bCs/>
          <w:sz w:val="28"/>
          <w:szCs w:val="21"/>
        </w:rPr>
      </w:pPr>
      <w:r>
        <w:rPr>
          <w:rFonts w:ascii="宋体" w:hAnsi="宋体"/>
          <w:b/>
          <w:bCs/>
          <w:sz w:val="28"/>
          <w:szCs w:val="21"/>
        </w:rPr>
        <w:t xml:space="preserve">          </w:t>
      </w:r>
    </w:p>
    <w:p w14:paraId="2F264A68">
      <w:pPr>
        <w:pStyle w:val="2"/>
        <w:spacing w:line="480" w:lineRule="exact"/>
        <w:ind w:left="1" w:leftChars="0" w:firstLine="568" w:firstLineChars="202"/>
        <w:rPr>
          <w:rFonts w:ascii="宋体" w:hAnsi="宋体"/>
          <w:b/>
          <w:bCs/>
          <w:sz w:val="28"/>
          <w:szCs w:val="21"/>
        </w:rPr>
      </w:pPr>
      <w:r>
        <w:rPr>
          <w:rFonts w:ascii="宋体" w:hAnsi="宋体"/>
          <w:b/>
          <w:bCs/>
          <w:sz w:val="28"/>
          <w:szCs w:val="21"/>
        </w:rPr>
        <w:t xml:space="preserve">      </w:t>
      </w:r>
    </w:p>
    <w:p w14:paraId="20414404">
      <w:pPr>
        <w:pStyle w:val="2"/>
        <w:spacing w:line="480" w:lineRule="exact"/>
        <w:ind w:left="0" w:leftChars="0" w:firstLine="1684" w:firstLineChars="599"/>
        <w:jc w:val="center"/>
      </w:pPr>
      <w:r>
        <w:rPr>
          <w:rFonts w:hint="eastAsia" w:ascii="宋体" w:hAnsi="宋体"/>
          <w:b/>
          <w:bCs/>
          <w:sz w:val="28"/>
          <w:szCs w:val="21"/>
        </w:rPr>
        <w:t>分区赛案例编析评分规则表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2068"/>
        <w:gridCol w:w="5408"/>
        <w:gridCol w:w="884"/>
      </w:tblGrid>
      <w:tr w14:paraId="1AFA07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3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F3FDF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bookmarkStart w:id="26" w:name="_Hlk169250514"/>
            <w:r>
              <w:rPr>
                <w:rFonts w:hint="eastAsia"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评分要素</w:t>
            </w:r>
          </w:p>
        </w:tc>
        <w:tc>
          <w:tcPr>
            <w:tcW w:w="11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721DBC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评分要点</w:t>
            </w:r>
          </w:p>
        </w:tc>
        <w:tc>
          <w:tcPr>
            <w:tcW w:w="30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EB9953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具体描述</w:t>
            </w: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D65F1CD">
            <w:pPr>
              <w:spacing w:before="312" w:beforeLines="100" w:line="480" w:lineRule="exact"/>
              <w:jc w:val="center"/>
              <w:textAlignment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分值</w:t>
            </w:r>
          </w:p>
        </w:tc>
      </w:tr>
      <w:tr w14:paraId="3DF6B8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5" w:hRule="atLeast"/>
        </w:trPr>
        <w:tc>
          <w:tcPr>
            <w:tcW w:w="35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03BA9B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专</w:t>
            </w:r>
          </w:p>
          <w:p w14:paraId="7B1A7D3C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业</w:t>
            </w:r>
          </w:p>
          <w:p w14:paraId="42435817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能</w:t>
            </w:r>
          </w:p>
          <w:p w14:paraId="2C973669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力</w:t>
            </w:r>
          </w:p>
        </w:tc>
        <w:tc>
          <w:tcPr>
            <w:tcW w:w="114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0F1BA2">
            <w:pPr>
              <w:spacing w:line="480" w:lineRule="exact"/>
              <w:ind w:left="210" w:leftChars="100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税法政策运用、税收风险分析、行业特征及发展趋势判断能力</w:t>
            </w:r>
          </w:p>
        </w:tc>
        <w:tc>
          <w:tcPr>
            <w:tcW w:w="30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A3E641">
            <w:pPr>
              <w:spacing w:line="480" w:lineRule="exact"/>
              <w:ind w:left="210" w:leftChars="100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1.根据案例分析的问题，计算核对相关数据；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2.结合行业数据和案例本身的财务数据，判断出风险点，提出合理的分析设想；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3.根据初步判断和风险特征进行分析计算；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4.准确排除部分风险信息；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5.能锁定风险并根据经验制定解决策略；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6.对行业的特点、税收风险有充分的理解；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7.能根据行业特征和发展趋势快速预判风险范围；</w:t>
            </w:r>
          </w:p>
          <w:p w14:paraId="10C4FB45">
            <w:pPr>
              <w:spacing w:line="480" w:lineRule="exact"/>
              <w:ind w:left="210" w:leftChars="100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8.税收风险治理能力，能解决，有方案，能够合理用好、用足税收政策。</w:t>
            </w:r>
          </w:p>
        </w:tc>
        <w:tc>
          <w:tcPr>
            <w:tcW w:w="4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E84D9F">
            <w:pPr>
              <w:spacing w:line="480" w:lineRule="exact"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</w:tr>
      <w:bookmarkEnd w:id="26"/>
    </w:tbl>
    <w:p w14:paraId="6D628418">
      <w:pPr>
        <w:spacing w:line="480" w:lineRule="exact"/>
        <w:ind w:firstLine="418"/>
      </w:pPr>
    </w:p>
    <w:p w14:paraId="77728FFD">
      <w:pPr>
        <w:spacing w:line="480" w:lineRule="exact"/>
        <w:ind w:firstLine="418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对评分过程中，发现所提交案例存在抄袭或雷同等不端行为的，案例总评分为零分。参赛队伍应注意自创案例的保密工作，防止因泄密导致抄袭或雷同风险。</w:t>
      </w:r>
    </w:p>
    <w:p w14:paraId="010AE61C">
      <w:pPr>
        <w:widowControl w:val="0"/>
        <w:spacing w:line="480" w:lineRule="exact"/>
        <w:ind w:firstLine="560" w:firstLineChars="200"/>
        <w:jc w:val="both"/>
        <w:rPr>
          <w:rFonts w:ascii="仿宋" w:hAnsi="仿宋" w:eastAsia="仿宋" w:cs="仿宋"/>
          <w:sz w:val="28"/>
          <w:szCs w:val="28"/>
        </w:rPr>
      </w:pPr>
    </w:p>
    <w:p w14:paraId="1A2A63C4">
      <w:pPr>
        <w:pStyle w:val="4"/>
        <w:spacing w:before="0" w:after="0" w:line="480" w:lineRule="exact"/>
        <w:ind w:left="420" w:leftChars="200"/>
        <w:rPr>
          <w:rFonts w:ascii="黑体" w:hAnsi="黑体"/>
          <w:b w:val="0"/>
          <w:szCs w:val="28"/>
        </w:rPr>
      </w:pPr>
      <w:bookmarkStart w:id="27" w:name="_Toc201848760"/>
      <w:r>
        <w:rPr>
          <w:rFonts w:hint="eastAsia" w:ascii="黑体" w:hAnsi="黑体"/>
          <w:b w:val="0"/>
          <w:szCs w:val="28"/>
        </w:rPr>
        <w:t>五、参赛队伍晋级规定</w:t>
      </w:r>
      <w:bookmarkEnd w:id="27"/>
    </w:p>
    <w:p w14:paraId="0836B6E2">
      <w:pPr>
        <w:spacing w:line="480" w:lineRule="exact"/>
        <w:ind w:firstLine="562" w:firstLineChars="200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</w:t>
      </w:r>
      <w:r>
        <w:rPr>
          <w:rFonts w:hint="eastAsia" w:ascii="仿宋" w:hAnsi="仿宋" w:eastAsia="仿宋"/>
          <w:sz w:val="28"/>
          <w:szCs w:val="28"/>
        </w:rPr>
        <w:t>本次大赛全国总决赛队伍名额不超过200支。每个分赛区原则上确保一支队伍晋级总决赛。每所院校提交案例数不限。一所院校可有多支队伍同时晋级总决赛。</w:t>
      </w:r>
    </w:p>
    <w:p w14:paraId="67088BF3">
      <w:pPr>
        <w:spacing w:line="4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</w:t>
      </w:r>
      <w:r>
        <w:rPr>
          <w:rFonts w:hint="eastAsia" w:ascii="仿宋" w:hAnsi="仿宋" w:eastAsia="仿宋"/>
          <w:sz w:val="28"/>
          <w:szCs w:val="28"/>
        </w:rPr>
        <w:t>本赛区晋级全国总决赛的队伍名额计算机制如下：</w:t>
      </w:r>
    </w:p>
    <w:p w14:paraId="4DEDE07D"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bookmarkStart w:id="28" w:name="_Hlk201847721"/>
      <w:r>
        <w:rPr>
          <w:rFonts w:hint="eastAsia" w:ascii="仿宋" w:hAnsi="仿宋" w:eastAsia="仿宋"/>
          <w:sz w:val="28"/>
          <w:szCs w:val="28"/>
        </w:rPr>
        <w:t>本赛区的核定名额数=1+1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9/所有赛区有效案例总数×本分赛区有效案例合计数；</w:t>
      </w:r>
    </w:p>
    <w:bookmarkEnd w:id="28"/>
    <w:p w14:paraId="39C9F4E0"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本分赛区有效案例合计数 = 本分赛区提交案例总数 -无效案例合计数；</w:t>
      </w:r>
    </w:p>
    <w:p w14:paraId="13C40A92"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无效案例由分赛区评审专家在案例评审中进行确定；</w:t>
      </w:r>
    </w:p>
    <w:p w14:paraId="62D64AAB">
      <w:pPr>
        <w:spacing w:line="48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所有分赛区有效案例总数 = 各分赛区有效案例合计数的汇总数。</w:t>
      </w:r>
    </w:p>
    <w:p w14:paraId="78841530">
      <w:pPr>
        <w:spacing w:line="4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（三）</w:t>
      </w:r>
      <w:r>
        <w:rPr>
          <w:rFonts w:hint="eastAsia" w:ascii="仿宋" w:hAnsi="仿宋" w:eastAsia="仿宋"/>
          <w:sz w:val="28"/>
          <w:szCs w:val="28"/>
        </w:rPr>
        <w:t>各赛区比赛结果宣布后，晋级队伍需在5个工作日内通过大赛官网提供的二维码，填写并提交加盖院校印章的《全国本科院校税收风险管控案例大赛总决赛参赛确认函》，若未在规定日期前提交确认参加总决赛函，则视为放弃晋级资格。遇有放弃总决赛比赛资格的，按照各分赛区内排名，由所在分赛区的其他队伍递补并确认。如果提交了参赛确认函，但最后由于客观原因不能如期参赛，则必须以学校盖章函给予正式说明解释。</w:t>
      </w:r>
    </w:p>
    <w:p w14:paraId="0B4C1726">
      <w:pPr>
        <w:spacing w:line="48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（四）</w:t>
      </w:r>
      <w:r>
        <w:rPr>
          <w:rFonts w:hint="eastAsia" w:ascii="仿宋" w:hAnsi="仿宋" w:eastAsia="仿宋"/>
          <w:sz w:val="28"/>
          <w:szCs w:val="28"/>
        </w:rPr>
        <w:t>晋级名单公布时间为202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 xml:space="preserve">年11月第一周。                </w:t>
      </w:r>
    </w:p>
    <w:p w14:paraId="0120D198">
      <w:pPr>
        <w:pStyle w:val="4"/>
        <w:spacing w:before="0" w:after="0" w:line="480" w:lineRule="exact"/>
        <w:ind w:left="420" w:leftChars="200"/>
        <w:rPr>
          <w:rFonts w:ascii="黑体" w:hAnsi="黑体"/>
          <w:b w:val="0"/>
          <w:szCs w:val="28"/>
        </w:rPr>
      </w:pPr>
      <w:bookmarkStart w:id="29" w:name="_Toc85710007"/>
      <w:bookmarkStart w:id="30" w:name="_Toc201848761"/>
      <w:r>
        <w:rPr>
          <w:rFonts w:hint="eastAsia" w:ascii="黑体" w:hAnsi="黑体"/>
          <w:b w:val="0"/>
          <w:szCs w:val="28"/>
        </w:rPr>
        <w:t>六、分区赛</w:t>
      </w:r>
      <w:bookmarkEnd w:id="29"/>
      <w:r>
        <w:rPr>
          <w:rFonts w:hint="eastAsia" w:ascii="黑体" w:hAnsi="黑体"/>
          <w:b w:val="0"/>
          <w:szCs w:val="28"/>
        </w:rPr>
        <w:t>奖项</w:t>
      </w:r>
      <w:bookmarkEnd w:id="30"/>
    </w:p>
    <w:p w14:paraId="63155DF4">
      <w:pPr>
        <w:widowControl w:val="0"/>
        <w:spacing w:line="480" w:lineRule="exact"/>
        <w:ind w:firstLine="562"/>
        <w:jc w:val="both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31" w:name="_Toc201848762"/>
      <w:r>
        <w:rPr>
          <w:rFonts w:hint="eastAsia" w:ascii="仿宋" w:hAnsi="仿宋" w:eastAsia="仿宋" w:cs="仿宋"/>
          <w:b/>
          <w:bCs/>
          <w:sz w:val="28"/>
          <w:szCs w:val="28"/>
        </w:rPr>
        <w:t>（一）奖项设置</w:t>
      </w:r>
      <w:bookmarkEnd w:id="31"/>
    </w:p>
    <w:p w14:paraId="45C23A26">
      <w:pPr>
        <w:widowControl w:val="0"/>
        <w:spacing w:line="480" w:lineRule="exact"/>
        <w:ind w:firstLine="56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分区赛以实际有效参赛队为基数，分设一、二、三等奖：一等奖占总参赛队伍总数的10%（小数点后四舍五入，下同），二等奖占总参赛队伍总数的20%，三等奖占总参赛队伍总数的30%。</w:t>
      </w:r>
    </w:p>
    <w:p w14:paraId="473DA74F">
      <w:pPr>
        <w:spacing w:line="480" w:lineRule="exact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获得一等奖、二等奖、三等奖队伍的指导教师为分区赛优秀指导教师。</w:t>
      </w:r>
    </w:p>
    <w:p w14:paraId="234863EF">
      <w:pPr>
        <w:spacing w:line="480" w:lineRule="exact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获奖选手和指导教师均颁发相应获奖荣誉证书。</w:t>
      </w:r>
    </w:p>
    <w:p w14:paraId="2B2E8052">
      <w:pPr>
        <w:widowControl w:val="0"/>
        <w:spacing w:line="480" w:lineRule="exact"/>
        <w:ind w:firstLine="560"/>
        <w:jc w:val="both"/>
        <w:outlineLvl w:val="1"/>
        <w:rPr>
          <w:rFonts w:ascii="仿宋" w:hAnsi="仿宋" w:eastAsia="仿宋"/>
          <w:b/>
          <w:bCs/>
          <w:sz w:val="28"/>
          <w:szCs w:val="28"/>
        </w:rPr>
      </w:pPr>
      <w:bookmarkStart w:id="32" w:name="_Toc201848763"/>
      <w:r>
        <w:rPr>
          <w:rFonts w:hint="eastAsia" w:ascii="仿宋" w:hAnsi="仿宋" w:eastAsia="仿宋"/>
          <w:b/>
          <w:bCs/>
          <w:sz w:val="28"/>
          <w:szCs w:val="28"/>
        </w:rPr>
        <w:t>（二）其他说明</w:t>
      </w:r>
      <w:bookmarkEnd w:id="32"/>
    </w:p>
    <w:p w14:paraId="31FDA1FB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总决赛结束后统一组织分区赛颁奖、颁发获奖荣誉证书。具体时间另行通知。获奖名单将通过大赛官方平台、大赛公众号等平台上发布。</w:t>
      </w:r>
    </w:p>
    <w:p w14:paraId="17D9C9B1">
      <w:pPr>
        <w:pStyle w:val="4"/>
        <w:spacing w:before="0" w:after="0" w:line="480" w:lineRule="exact"/>
        <w:ind w:left="420" w:leftChars="200"/>
        <w:rPr>
          <w:rFonts w:ascii="华文仿宋" w:hAnsi="华文仿宋" w:eastAsia="华文仿宋"/>
          <w:b w:val="0"/>
          <w:szCs w:val="28"/>
        </w:rPr>
      </w:pPr>
      <w:bookmarkStart w:id="33" w:name="_Toc85710008"/>
      <w:bookmarkStart w:id="34" w:name="_Toc201848764"/>
      <w:r>
        <w:rPr>
          <w:rFonts w:hint="eastAsia" w:ascii="黑体" w:hAnsi="黑体"/>
          <w:b w:val="0"/>
          <w:szCs w:val="28"/>
        </w:rPr>
        <w:t>七、分区赛联系人及联系方式</w:t>
      </w:r>
      <w:bookmarkEnd w:id="33"/>
      <w:bookmarkEnd w:id="34"/>
    </w:p>
    <w:p w14:paraId="191B5149">
      <w:pPr>
        <w:rPr>
          <w:rFonts w:ascii="华文仿宋" w:hAnsi="华文仿宋" w:eastAsia="华文仿宋"/>
        </w:rPr>
      </w:pPr>
    </w:p>
    <w:p w14:paraId="48614E90">
      <w:pPr>
        <w:widowControl w:val="0"/>
        <w:spacing w:line="480" w:lineRule="exact"/>
        <w:ind w:firstLine="560"/>
        <w:jc w:val="both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35" w:name="_Toc201848765"/>
      <w:r>
        <w:rPr>
          <w:rFonts w:hint="eastAsia" w:ascii="仿宋" w:hAnsi="仿宋" w:eastAsia="仿宋" w:cs="仿宋"/>
          <w:b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赛组委会秘书处（***大学）</w:t>
      </w:r>
      <w:bookmarkEnd w:id="35"/>
    </w:p>
    <w:p w14:paraId="580FC413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地址：***</w:t>
      </w:r>
    </w:p>
    <w:p w14:paraId="6FE1FDF7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 xml:space="preserve">分区赛组委会秘书处办公电话： </w:t>
      </w:r>
    </w:p>
    <w:p w14:paraId="4BD8F09B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 xml:space="preserve">组委会邮箱： </w:t>
      </w:r>
    </w:p>
    <w:p w14:paraId="5C933828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 xml:space="preserve">仲裁委员会电话：    </w:t>
      </w:r>
    </w:p>
    <w:p w14:paraId="16DE4C2C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 xml:space="preserve">仲裁委员会邮箱： </w:t>
      </w:r>
    </w:p>
    <w:p w14:paraId="166C818C">
      <w:pPr>
        <w:spacing w:line="480" w:lineRule="exact"/>
        <w:ind w:firstLine="560" w:firstLineChars="20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分区赛官方微信群：</w:t>
      </w:r>
    </w:p>
    <w:p w14:paraId="691CEE34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1"/>
        </w:rPr>
        <w:t>缴费及发票咨询电话：</w:t>
      </w:r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朱老师</w:t>
      </w:r>
      <w:r>
        <w:rPr>
          <w:rFonts w:hint="eastAsia" w:ascii="仿宋" w:hAnsi="仿宋" w:eastAsia="仿宋" w:cs="仿宋"/>
          <w:sz w:val="28"/>
          <w:szCs w:val="21"/>
        </w:rPr>
        <w:t>0571-86735753</w:t>
      </w:r>
    </w:p>
    <w:p w14:paraId="7E7457A5">
      <w:pPr>
        <w:widowControl w:val="0"/>
        <w:spacing w:line="480" w:lineRule="exact"/>
        <w:ind w:firstLine="560"/>
        <w:jc w:val="both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36" w:name="_Toc201848766"/>
      <w:bookmarkStart w:id="37" w:name="_Toc382667903"/>
      <w:r>
        <w:rPr>
          <w:rFonts w:hint="eastAsia" w:ascii="仿宋" w:hAnsi="仿宋" w:eastAsia="仿宋" w:cs="仿宋"/>
          <w:b/>
          <w:bCs/>
          <w:sz w:val="28"/>
          <w:szCs w:val="28"/>
        </w:rPr>
        <w:t>（二）网站服务</w:t>
      </w:r>
      <w:bookmarkEnd w:id="36"/>
    </w:p>
    <w:p w14:paraId="62ABAD3C">
      <w:pPr>
        <w:spacing w:line="480" w:lineRule="exact"/>
        <w:ind w:left="632" w:leftChars="301" w:firstLine="6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竞赛相关通知及信息发布见大赛官网：http://ssfkds.moocollege.com/。</w:t>
      </w:r>
    </w:p>
    <w:p w14:paraId="76A5CA79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网站</w:t>
      </w:r>
      <w:r>
        <w:rPr>
          <w:rFonts w:hint="eastAsia" w:ascii="仿宋" w:hAnsi="仿宋" w:eastAsia="仿宋" w:cs="仿宋"/>
          <w:sz w:val="28"/>
          <w:szCs w:val="21"/>
        </w:rPr>
        <w:t>及竞赛系统</w:t>
      </w:r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咨询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余</w:t>
      </w:r>
      <w:r>
        <w:rPr>
          <w:rFonts w:hint="eastAsia" w:ascii="仿宋" w:hAnsi="仿宋" w:eastAsia="仿宋" w:cs="仿宋"/>
          <w:sz w:val="28"/>
          <w:szCs w:val="28"/>
        </w:rPr>
        <w:t>老师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15057160521</w:t>
      </w:r>
    </w:p>
    <w:p w14:paraId="52872E96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55241406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大赛组委会负责大赛规程的解释。未尽事宜，另行通知！</w:t>
      </w:r>
    </w:p>
    <w:p w14:paraId="642118EC">
      <w:pPr>
        <w:spacing w:line="480" w:lineRule="exact"/>
        <w:ind w:firstLine="560"/>
        <w:rPr>
          <w:rFonts w:hint="eastAsia" w:ascii="仿宋" w:hAnsi="仿宋" w:eastAsia="仿宋" w:cs="仿宋"/>
          <w:sz w:val="28"/>
          <w:szCs w:val="28"/>
        </w:rPr>
      </w:pPr>
    </w:p>
    <w:p w14:paraId="0584AC5C">
      <w:pPr>
        <w:widowControl w:val="0"/>
        <w:spacing w:line="480" w:lineRule="exact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38" w:name="_Toc201848767"/>
      <w:r>
        <w:rPr>
          <w:rFonts w:hint="eastAsia" w:ascii="仿宋" w:hAnsi="仿宋" w:eastAsia="仿宋" w:cs="仿宋"/>
          <w:sz w:val="28"/>
          <w:szCs w:val="28"/>
        </w:rPr>
        <w:t>附件1：202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年全国本科院校税收风险管控案例大赛案例编写规范</w:t>
      </w:r>
      <w:bookmarkEnd w:id="38"/>
    </w:p>
    <w:p w14:paraId="4DD5072C">
      <w:pPr>
        <w:widowControl w:val="0"/>
        <w:spacing w:line="480" w:lineRule="exact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39" w:name="_Toc201848768"/>
      <w:r>
        <w:rPr>
          <w:rFonts w:hint="eastAsia" w:ascii="仿宋" w:hAnsi="仿宋" w:eastAsia="仿宋" w:cs="仿宋"/>
          <w:sz w:val="28"/>
          <w:szCs w:val="28"/>
        </w:rPr>
        <w:t>附件2：202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年全国本科院校税收风险管控案例大赛总决赛参赛确认函</w:t>
      </w:r>
      <w:bookmarkEnd w:id="39"/>
    </w:p>
    <w:p w14:paraId="0080F898">
      <w:pPr>
        <w:widowControl w:val="0"/>
        <w:spacing w:line="480" w:lineRule="exact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40" w:name="_Toc201848769"/>
      <w:r>
        <w:rPr>
          <w:rFonts w:hint="eastAsia" w:ascii="仿宋" w:hAnsi="仿宋" w:eastAsia="仿宋" w:cs="仿宋"/>
          <w:sz w:val="28"/>
          <w:szCs w:val="28"/>
        </w:rPr>
        <w:t>附件3：竞赛案例原创性承诺函</w:t>
      </w:r>
      <w:bookmarkEnd w:id="40"/>
    </w:p>
    <w:p w14:paraId="6ECD93AB">
      <w:pPr>
        <w:widowControl w:val="0"/>
        <w:spacing w:line="480" w:lineRule="exact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41" w:name="_Toc201848770"/>
      <w:r>
        <w:rPr>
          <w:rFonts w:hint="eastAsia" w:ascii="仿宋" w:hAnsi="仿宋" w:eastAsia="仿宋" w:cs="仿宋"/>
          <w:sz w:val="28"/>
          <w:szCs w:val="28"/>
        </w:rPr>
        <w:t>附件4：202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年全国本科院校税收风险管控案例大赛缴费说明</w:t>
      </w:r>
      <w:bookmarkEnd w:id="41"/>
    </w:p>
    <w:p w14:paraId="5FA6E6A7">
      <w:pPr>
        <w:widowControl w:val="0"/>
        <w:spacing w:line="480" w:lineRule="exact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42" w:name="_Toc201848771"/>
      <w:r>
        <w:rPr>
          <w:rFonts w:hint="eastAsia" w:ascii="仿宋" w:hAnsi="仿宋" w:eastAsia="仿宋" w:cs="仿宋"/>
          <w:sz w:val="28"/>
          <w:szCs w:val="28"/>
        </w:rPr>
        <w:t>附件5：202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年全国本科院校税收风控大赛缴费发票合并开具信息统计表</w:t>
      </w:r>
      <w:bookmarkEnd w:id="42"/>
    </w:p>
    <w:p w14:paraId="1B30CD4C">
      <w:pPr>
        <w:widowControl w:val="0"/>
        <w:spacing w:line="480" w:lineRule="exact"/>
        <w:ind w:firstLine="560"/>
        <w:jc w:val="both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43" w:name="_Toc201848772"/>
      <w:r>
        <w:rPr>
          <w:rFonts w:hint="eastAsia" w:ascii="仿宋" w:hAnsi="仿宋" w:eastAsia="仿宋" w:cs="仿宋"/>
          <w:sz w:val="28"/>
          <w:szCs w:val="28"/>
        </w:rPr>
        <w:t>附件6：全国本科院校税收风险管控案例大赛参赛系统使用指南</w:t>
      </w:r>
      <w:bookmarkEnd w:id="43"/>
    </w:p>
    <w:p w14:paraId="62331A7D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</w:t>
      </w:r>
    </w:p>
    <w:p w14:paraId="04C375A5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2561D8B1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  </w:t>
      </w:r>
    </w:p>
    <w:p w14:paraId="7FCB64AE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18EC5E82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03826F90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0A7CD28E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511E1784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28E55ED2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</w:p>
    <w:p w14:paraId="5D8C26CB">
      <w:pPr>
        <w:spacing w:line="480" w:lineRule="exact"/>
        <w:ind w:firstLine="2699" w:firstLineChars="964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年全国本科院校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税收</w:t>
      </w:r>
      <w:r>
        <w:rPr>
          <w:rFonts w:hint="eastAsia" w:ascii="仿宋" w:hAnsi="仿宋" w:eastAsia="仿宋"/>
          <w:sz w:val="28"/>
          <w:szCs w:val="28"/>
        </w:rPr>
        <w:t>风险管控案例大赛</w:t>
      </w:r>
    </w:p>
    <w:p w14:paraId="64B91D79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ascii="仿宋" w:hAnsi="仿宋" w:eastAsia="仿宋"/>
          <w:sz w:val="28"/>
          <w:szCs w:val="28"/>
        </w:rPr>
        <w:t xml:space="preserve">                    </w:t>
      </w:r>
      <w:r>
        <w:rPr>
          <w:rFonts w:hint="eastAsia" w:ascii="仿宋" w:hAnsi="仿宋" w:eastAsia="仿宋"/>
          <w:sz w:val="28"/>
          <w:szCs w:val="28"/>
        </w:rPr>
        <w:t xml:space="preserve"> **分区赛组委会</w:t>
      </w:r>
    </w:p>
    <w:p w14:paraId="2CACA218">
      <w:pPr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</w:t>
      </w:r>
      <w:r>
        <w:rPr>
          <w:rFonts w:ascii="仿宋" w:hAnsi="仿宋" w:eastAsia="仿宋"/>
          <w:sz w:val="28"/>
          <w:szCs w:val="28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 xml:space="preserve">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月</w:t>
      </w:r>
      <w:bookmarkEnd w:id="37"/>
    </w:p>
    <w:sectPr>
      <w:footerReference r:id="rId5" w:type="default"/>
      <w:pgSz w:w="11906" w:h="16838"/>
      <w:pgMar w:top="1270" w:right="1463" w:bottom="1270" w:left="1463" w:header="851" w:footer="992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88105">
    <w:pPr>
      <w:pStyle w:val="9"/>
      <w:framePr w:w="1006" w:h="661" w:hRule="exact" w:wrap="around" w:vAnchor="text" w:hAnchor="page" w:x="5221" w:y="-5"/>
      <w:jc w:val="center"/>
      <w:rPr>
        <w:rStyle w:val="17"/>
        <w:sz w:val="24"/>
        <w:szCs w:val="24"/>
      </w:rPr>
    </w:pPr>
    <w:r>
      <w:rPr>
        <w:rStyle w:val="17"/>
        <w:rFonts w:hint="eastAsia"/>
        <w:sz w:val="24"/>
        <w:szCs w:val="24"/>
      </w:rPr>
      <w:t>—</w:t>
    </w:r>
    <w:r>
      <w:rPr>
        <w:rStyle w:val="17"/>
        <w:sz w:val="24"/>
        <w:szCs w:val="24"/>
      </w:rPr>
      <w:fldChar w:fldCharType="begin"/>
    </w:r>
    <w:r>
      <w:rPr>
        <w:rStyle w:val="17"/>
        <w:sz w:val="24"/>
        <w:szCs w:val="24"/>
      </w:rPr>
      <w:instrText xml:space="preserve">PAGE  </w:instrText>
    </w:r>
    <w:r>
      <w:rPr>
        <w:rStyle w:val="17"/>
        <w:sz w:val="24"/>
        <w:szCs w:val="24"/>
      </w:rPr>
      <w:fldChar w:fldCharType="separate"/>
    </w:r>
    <w:r>
      <w:rPr>
        <w:rStyle w:val="17"/>
        <w:sz w:val="24"/>
        <w:szCs w:val="24"/>
      </w:rPr>
      <w:t>1</w:t>
    </w:r>
    <w:r>
      <w:rPr>
        <w:rStyle w:val="17"/>
        <w:sz w:val="24"/>
        <w:szCs w:val="24"/>
      </w:rPr>
      <w:fldChar w:fldCharType="end"/>
    </w:r>
    <w:r>
      <w:rPr>
        <w:rStyle w:val="17"/>
        <w:rFonts w:hint="eastAsia"/>
        <w:sz w:val="24"/>
        <w:szCs w:val="24"/>
      </w:rPr>
      <w:t>—</w:t>
    </w:r>
  </w:p>
  <w:p w14:paraId="6B0A66B2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RhMzRkYTBmOTNiY2RhNjdkYTM2MWQ0YzI5ZDcwODAifQ=="/>
  </w:docVars>
  <w:rsids>
    <w:rsidRoot w:val="000D5195"/>
    <w:rsid w:val="00021C7F"/>
    <w:rsid w:val="000416C5"/>
    <w:rsid w:val="0004611A"/>
    <w:rsid w:val="00052FFE"/>
    <w:rsid w:val="000637D2"/>
    <w:rsid w:val="00067A63"/>
    <w:rsid w:val="00092067"/>
    <w:rsid w:val="00096C18"/>
    <w:rsid w:val="000A5155"/>
    <w:rsid w:val="000A722A"/>
    <w:rsid w:val="000B058B"/>
    <w:rsid w:val="000B3BDE"/>
    <w:rsid w:val="000B3EC5"/>
    <w:rsid w:val="000D11C8"/>
    <w:rsid w:val="000D2CA8"/>
    <w:rsid w:val="000D5195"/>
    <w:rsid w:val="000D5B29"/>
    <w:rsid w:val="000D680F"/>
    <w:rsid w:val="000E552F"/>
    <w:rsid w:val="00102DAB"/>
    <w:rsid w:val="001073DF"/>
    <w:rsid w:val="00123C60"/>
    <w:rsid w:val="00162EAC"/>
    <w:rsid w:val="00162FD7"/>
    <w:rsid w:val="00166F7D"/>
    <w:rsid w:val="00187185"/>
    <w:rsid w:val="00187B3E"/>
    <w:rsid w:val="001A135C"/>
    <w:rsid w:val="001B3E21"/>
    <w:rsid w:val="001C3B53"/>
    <w:rsid w:val="001E3EDC"/>
    <w:rsid w:val="001F1E15"/>
    <w:rsid w:val="001F5FC2"/>
    <w:rsid w:val="002122F5"/>
    <w:rsid w:val="00215D51"/>
    <w:rsid w:val="00223C8E"/>
    <w:rsid w:val="00240ED0"/>
    <w:rsid w:val="00261750"/>
    <w:rsid w:val="00263249"/>
    <w:rsid w:val="00274600"/>
    <w:rsid w:val="00294501"/>
    <w:rsid w:val="00296897"/>
    <w:rsid w:val="002B3687"/>
    <w:rsid w:val="002B3D02"/>
    <w:rsid w:val="002C13E7"/>
    <w:rsid w:val="002D2F7A"/>
    <w:rsid w:val="002E2D9E"/>
    <w:rsid w:val="002E3ECD"/>
    <w:rsid w:val="002E4477"/>
    <w:rsid w:val="002E77F0"/>
    <w:rsid w:val="002E7F68"/>
    <w:rsid w:val="002F0563"/>
    <w:rsid w:val="002F274C"/>
    <w:rsid w:val="00302383"/>
    <w:rsid w:val="003109A8"/>
    <w:rsid w:val="0031227A"/>
    <w:rsid w:val="003126AC"/>
    <w:rsid w:val="00326954"/>
    <w:rsid w:val="00326DCB"/>
    <w:rsid w:val="00327A1D"/>
    <w:rsid w:val="00353CB6"/>
    <w:rsid w:val="0035742C"/>
    <w:rsid w:val="00363128"/>
    <w:rsid w:val="00367E96"/>
    <w:rsid w:val="00373A38"/>
    <w:rsid w:val="00390584"/>
    <w:rsid w:val="00393DE2"/>
    <w:rsid w:val="003A7C61"/>
    <w:rsid w:val="003B0722"/>
    <w:rsid w:val="003C31C4"/>
    <w:rsid w:val="003D12B4"/>
    <w:rsid w:val="003D5139"/>
    <w:rsid w:val="003F3E0E"/>
    <w:rsid w:val="00401A49"/>
    <w:rsid w:val="00405108"/>
    <w:rsid w:val="004053C9"/>
    <w:rsid w:val="00405608"/>
    <w:rsid w:val="00405B80"/>
    <w:rsid w:val="00421CCC"/>
    <w:rsid w:val="00424932"/>
    <w:rsid w:val="00427882"/>
    <w:rsid w:val="00456983"/>
    <w:rsid w:val="00463B18"/>
    <w:rsid w:val="004928F1"/>
    <w:rsid w:val="004A2883"/>
    <w:rsid w:val="004A2D9D"/>
    <w:rsid w:val="004A6694"/>
    <w:rsid w:val="004B526A"/>
    <w:rsid w:val="004B6C9D"/>
    <w:rsid w:val="004C1A97"/>
    <w:rsid w:val="004C62C6"/>
    <w:rsid w:val="004D0E35"/>
    <w:rsid w:val="004D36E6"/>
    <w:rsid w:val="004E7F17"/>
    <w:rsid w:val="004F5D85"/>
    <w:rsid w:val="004F7942"/>
    <w:rsid w:val="00503820"/>
    <w:rsid w:val="00525991"/>
    <w:rsid w:val="00541DEC"/>
    <w:rsid w:val="0054324D"/>
    <w:rsid w:val="005620B5"/>
    <w:rsid w:val="00575BA7"/>
    <w:rsid w:val="0059193F"/>
    <w:rsid w:val="005D5079"/>
    <w:rsid w:val="005E41C1"/>
    <w:rsid w:val="005F6F3E"/>
    <w:rsid w:val="00602165"/>
    <w:rsid w:val="0060779D"/>
    <w:rsid w:val="00610D4E"/>
    <w:rsid w:val="0061209D"/>
    <w:rsid w:val="00627CA9"/>
    <w:rsid w:val="00633CCF"/>
    <w:rsid w:val="00636B9E"/>
    <w:rsid w:val="00644C36"/>
    <w:rsid w:val="00646233"/>
    <w:rsid w:val="0065032D"/>
    <w:rsid w:val="00664868"/>
    <w:rsid w:val="0067029D"/>
    <w:rsid w:val="00673BEF"/>
    <w:rsid w:val="006862F4"/>
    <w:rsid w:val="006938E8"/>
    <w:rsid w:val="006A1BB5"/>
    <w:rsid w:val="006A361D"/>
    <w:rsid w:val="006A5B9D"/>
    <w:rsid w:val="006A5C38"/>
    <w:rsid w:val="006B2051"/>
    <w:rsid w:val="006B527A"/>
    <w:rsid w:val="006C15AD"/>
    <w:rsid w:val="006E28DA"/>
    <w:rsid w:val="006F5243"/>
    <w:rsid w:val="006F53DB"/>
    <w:rsid w:val="006F5DCE"/>
    <w:rsid w:val="00702D2D"/>
    <w:rsid w:val="007043BE"/>
    <w:rsid w:val="007107A4"/>
    <w:rsid w:val="00712D3E"/>
    <w:rsid w:val="007142C8"/>
    <w:rsid w:val="0074652D"/>
    <w:rsid w:val="00772E10"/>
    <w:rsid w:val="00783240"/>
    <w:rsid w:val="0078546B"/>
    <w:rsid w:val="00786C16"/>
    <w:rsid w:val="00795513"/>
    <w:rsid w:val="007B5019"/>
    <w:rsid w:val="007D1C61"/>
    <w:rsid w:val="007D5A1E"/>
    <w:rsid w:val="007D7893"/>
    <w:rsid w:val="00803C36"/>
    <w:rsid w:val="00805383"/>
    <w:rsid w:val="008115C8"/>
    <w:rsid w:val="00824160"/>
    <w:rsid w:val="00824FDA"/>
    <w:rsid w:val="008258AA"/>
    <w:rsid w:val="008454BC"/>
    <w:rsid w:val="00891D41"/>
    <w:rsid w:val="008975C1"/>
    <w:rsid w:val="008A14C8"/>
    <w:rsid w:val="008A7D8C"/>
    <w:rsid w:val="008B4018"/>
    <w:rsid w:val="008B5A9B"/>
    <w:rsid w:val="008D06C9"/>
    <w:rsid w:val="008D3609"/>
    <w:rsid w:val="008E0865"/>
    <w:rsid w:val="008F4CE7"/>
    <w:rsid w:val="008F7921"/>
    <w:rsid w:val="00931CED"/>
    <w:rsid w:val="0093446E"/>
    <w:rsid w:val="00940FB1"/>
    <w:rsid w:val="009506DA"/>
    <w:rsid w:val="00952DAA"/>
    <w:rsid w:val="00953F4F"/>
    <w:rsid w:val="00970DD6"/>
    <w:rsid w:val="00975E44"/>
    <w:rsid w:val="0097652A"/>
    <w:rsid w:val="0098063C"/>
    <w:rsid w:val="00991F20"/>
    <w:rsid w:val="00993EAE"/>
    <w:rsid w:val="009974D2"/>
    <w:rsid w:val="009B0DDD"/>
    <w:rsid w:val="009C642D"/>
    <w:rsid w:val="009D1715"/>
    <w:rsid w:val="009D6277"/>
    <w:rsid w:val="009E0A7E"/>
    <w:rsid w:val="00A10ED9"/>
    <w:rsid w:val="00A15251"/>
    <w:rsid w:val="00A15320"/>
    <w:rsid w:val="00A27EFA"/>
    <w:rsid w:val="00A542FB"/>
    <w:rsid w:val="00A551A5"/>
    <w:rsid w:val="00A5685A"/>
    <w:rsid w:val="00A76B99"/>
    <w:rsid w:val="00A9100E"/>
    <w:rsid w:val="00A91FEB"/>
    <w:rsid w:val="00A97EB9"/>
    <w:rsid w:val="00AA5B67"/>
    <w:rsid w:val="00AB352A"/>
    <w:rsid w:val="00AC549F"/>
    <w:rsid w:val="00AC597A"/>
    <w:rsid w:val="00AC74DF"/>
    <w:rsid w:val="00AD29B5"/>
    <w:rsid w:val="00AE12A4"/>
    <w:rsid w:val="00AE71E4"/>
    <w:rsid w:val="00AE7A11"/>
    <w:rsid w:val="00AF0574"/>
    <w:rsid w:val="00AF4A5A"/>
    <w:rsid w:val="00AF541A"/>
    <w:rsid w:val="00B21BF9"/>
    <w:rsid w:val="00B353AE"/>
    <w:rsid w:val="00B516A1"/>
    <w:rsid w:val="00B5640A"/>
    <w:rsid w:val="00B65066"/>
    <w:rsid w:val="00B741A5"/>
    <w:rsid w:val="00BB0455"/>
    <w:rsid w:val="00BC55C5"/>
    <w:rsid w:val="00BC6138"/>
    <w:rsid w:val="00BD6E27"/>
    <w:rsid w:val="00BD72CD"/>
    <w:rsid w:val="00C10F04"/>
    <w:rsid w:val="00C16CFE"/>
    <w:rsid w:val="00C2021E"/>
    <w:rsid w:val="00C4061A"/>
    <w:rsid w:val="00C5631B"/>
    <w:rsid w:val="00C6288A"/>
    <w:rsid w:val="00C647A7"/>
    <w:rsid w:val="00C7015F"/>
    <w:rsid w:val="00C7785C"/>
    <w:rsid w:val="00C84166"/>
    <w:rsid w:val="00CA10A7"/>
    <w:rsid w:val="00CD348E"/>
    <w:rsid w:val="00CD48D1"/>
    <w:rsid w:val="00CD5E59"/>
    <w:rsid w:val="00CF422F"/>
    <w:rsid w:val="00CF7E2D"/>
    <w:rsid w:val="00D12556"/>
    <w:rsid w:val="00D14194"/>
    <w:rsid w:val="00D252F1"/>
    <w:rsid w:val="00D27A34"/>
    <w:rsid w:val="00D3064D"/>
    <w:rsid w:val="00D32367"/>
    <w:rsid w:val="00D4070E"/>
    <w:rsid w:val="00D40CD3"/>
    <w:rsid w:val="00D70EB0"/>
    <w:rsid w:val="00D73097"/>
    <w:rsid w:val="00D75323"/>
    <w:rsid w:val="00D82866"/>
    <w:rsid w:val="00D85392"/>
    <w:rsid w:val="00D86704"/>
    <w:rsid w:val="00D90CE4"/>
    <w:rsid w:val="00D95BEA"/>
    <w:rsid w:val="00DA0761"/>
    <w:rsid w:val="00DA0F60"/>
    <w:rsid w:val="00DB0FA7"/>
    <w:rsid w:val="00DB14FB"/>
    <w:rsid w:val="00DB2885"/>
    <w:rsid w:val="00DB4ADF"/>
    <w:rsid w:val="00DC18AE"/>
    <w:rsid w:val="00DC2F2F"/>
    <w:rsid w:val="00DD441B"/>
    <w:rsid w:val="00DD79DA"/>
    <w:rsid w:val="00DE67E3"/>
    <w:rsid w:val="00DF7186"/>
    <w:rsid w:val="00E02DC9"/>
    <w:rsid w:val="00E14E4F"/>
    <w:rsid w:val="00E37232"/>
    <w:rsid w:val="00E72DA0"/>
    <w:rsid w:val="00E8720D"/>
    <w:rsid w:val="00E87257"/>
    <w:rsid w:val="00EC1BBB"/>
    <w:rsid w:val="00EC277B"/>
    <w:rsid w:val="00EC76B0"/>
    <w:rsid w:val="00EE71E5"/>
    <w:rsid w:val="00EE767C"/>
    <w:rsid w:val="00F10984"/>
    <w:rsid w:val="00F114D0"/>
    <w:rsid w:val="00F229AF"/>
    <w:rsid w:val="00F301BC"/>
    <w:rsid w:val="00F351D7"/>
    <w:rsid w:val="00F671B2"/>
    <w:rsid w:val="00F73DE3"/>
    <w:rsid w:val="00FA17E8"/>
    <w:rsid w:val="00FA2461"/>
    <w:rsid w:val="00FB2644"/>
    <w:rsid w:val="00FC78B2"/>
    <w:rsid w:val="00FD122F"/>
    <w:rsid w:val="00FD4897"/>
    <w:rsid w:val="00FF1563"/>
    <w:rsid w:val="00FF1B5E"/>
    <w:rsid w:val="00FF1E12"/>
    <w:rsid w:val="00FF318D"/>
    <w:rsid w:val="02AB3FF5"/>
    <w:rsid w:val="03FF60FC"/>
    <w:rsid w:val="04371856"/>
    <w:rsid w:val="06910FC2"/>
    <w:rsid w:val="07691EC4"/>
    <w:rsid w:val="07BB72C7"/>
    <w:rsid w:val="087951D4"/>
    <w:rsid w:val="08CA76F6"/>
    <w:rsid w:val="0A5A6419"/>
    <w:rsid w:val="0A926104"/>
    <w:rsid w:val="0D885C70"/>
    <w:rsid w:val="0DAC5DCD"/>
    <w:rsid w:val="10805F48"/>
    <w:rsid w:val="10FD74C4"/>
    <w:rsid w:val="12EA61CA"/>
    <w:rsid w:val="178F3D1F"/>
    <w:rsid w:val="17F90E5F"/>
    <w:rsid w:val="1BF070D2"/>
    <w:rsid w:val="1C8B3E68"/>
    <w:rsid w:val="1E5653B1"/>
    <w:rsid w:val="218D119B"/>
    <w:rsid w:val="223751DC"/>
    <w:rsid w:val="22573053"/>
    <w:rsid w:val="22735E0B"/>
    <w:rsid w:val="262707FB"/>
    <w:rsid w:val="2704468E"/>
    <w:rsid w:val="277529D2"/>
    <w:rsid w:val="281514F3"/>
    <w:rsid w:val="28B458FB"/>
    <w:rsid w:val="295C45CB"/>
    <w:rsid w:val="2C6F3652"/>
    <w:rsid w:val="2E0D3122"/>
    <w:rsid w:val="2EBA6F40"/>
    <w:rsid w:val="2F1D0D39"/>
    <w:rsid w:val="31126BC0"/>
    <w:rsid w:val="319E2320"/>
    <w:rsid w:val="340D7B12"/>
    <w:rsid w:val="349124F1"/>
    <w:rsid w:val="363F49E0"/>
    <w:rsid w:val="37144E9B"/>
    <w:rsid w:val="38BB301F"/>
    <w:rsid w:val="3ACA2A25"/>
    <w:rsid w:val="3C625169"/>
    <w:rsid w:val="3E6F2967"/>
    <w:rsid w:val="3EAF20BA"/>
    <w:rsid w:val="406D3E12"/>
    <w:rsid w:val="41235C78"/>
    <w:rsid w:val="42DB78B6"/>
    <w:rsid w:val="44275937"/>
    <w:rsid w:val="46DF4F9B"/>
    <w:rsid w:val="49972357"/>
    <w:rsid w:val="4AD075AC"/>
    <w:rsid w:val="4EA31FB9"/>
    <w:rsid w:val="4F7D3946"/>
    <w:rsid w:val="5177535B"/>
    <w:rsid w:val="546379E8"/>
    <w:rsid w:val="549F0CA0"/>
    <w:rsid w:val="5520724E"/>
    <w:rsid w:val="557F12D3"/>
    <w:rsid w:val="55A41C2D"/>
    <w:rsid w:val="5627460C"/>
    <w:rsid w:val="56566894"/>
    <w:rsid w:val="56A06B49"/>
    <w:rsid w:val="56A64A71"/>
    <w:rsid w:val="5BFB124C"/>
    <w:rsid w:val="5C2842AB"/>
    <w:rsid w:val="5D0617DF"/>
    <w:rsid w:val="5E2217DA"/>
    <w:rsid w:val="5EAF64E2"/>
    <w:rsid w:val="5F5770D1"/>
    <w:rsid w:val="6312692A"/>
    <w:rsid w:val="640B3A08"/>
    <w:rsid w:val="650D50E1"/>
    <w:rsid w:val="676808B8"/>
    <w:rsid w:val="67C42ECE"/>
    <w:rsid w:val="6D68133A"/>
    <w:rsid w:val="6EF13E9D"/>
    <w:rsid w:val="6FA917D6"/>
    <w:rsid w:val="702545F0"/>
    <w:rsid w:val="76152534"/>
    <w:rsid w:val="77A402E2"/>
    <w:rsid w:val="7A6C48C0"/>
    <w:rsid w:val="7B6B6DE7"/>
    <w:rsid w:val="7C6C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160" w:lineRule="atLeas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1"/>
    <w:next w:val="1"/>
    <w:link w:val="2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widowControl w:val="0"/>
      <w:spacing w:line="240" w:lineRule="auto"/>
      <w:ind w:left="100" w:leftChars="200" w:hanging="200" w:hangingChars="200"/>
      <w:jc w:val="both"/>
    </w:pPr>
    <w:rPr>
      <w:rFonts w:ascii="Calibri" w:hAnsi="Calibri"/>
      <w:szCs w:val="22"/>
    </w:rPr>
  </w:style>
  <w:style w:type="paragraph" w:styleId="5">
    <w:name w:val="annotation text"/>
    <w:basedOn w:val="1"/>
    <w:semiHidden/>
    <w:qFormat/>
    <w:uiPriority w:val="0"/>
  </w:style>
  <w:style w:type="paragraph" w:styleId="6">
    <w:name w:val="Body Text"/>
    <w:basedOn w:val="1"/>
    <w:link w:val="31"/>
    <w:qFormat/>
    <w:uiPriority w:val="0"/>
    <w:pPr>
      <w:spacing w:after="120"/>
    </w:p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toc 2"/>
    <w:basedOn w:val="1"/>
    <w:next w:val="1"/>
    <w:qFormat/>
    <w:uiPriority w:val="39"/>
    <w:pPr>
      <w:spacing w:line="360" w:lineRule="auto"/>
      <w:ind w:left="420" w:leftChars="200"/>
    </w:pPr>
    <w:rPr>
      <w:rFonts w:ascii="Calibri" w:hAnsi="Calibri" w:cs="Calibri"/>
      <w:szCs w:val="21"/>
    </w:rPr>
  </w:style>
  <w:style w:type="paragraph" w:styleId="12">
    <w:name w:val="annotation subject"/>
    <w:basedOn w:val="5"/>
    <w:next w:val="5"/>
    <w:semiHidden/>
    <w:qFormat/>
    <w:uiPriority w:val="0"/>
    <w:rPr>
      <w:b/>
      <w:bCs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basedOn w:val="15"/>
    <w:qFormat/>
    <w:uiPriority w:val="0"/>
  </w:style>
  <w:style w:type="character" w:styleId="18">
    <w:name w:val="FollowedHyperlink"/>
    <w:basedOn w:val="15"/>
    <w:qFormat/>
    <w:uiPriority w:val="0"/>
    <w:rPr>
      <w:color w:val="800080"/>
      <w:u w:val="single"/>
    </w:rPr>
  </w:style>
  <w:style w:type="character" w:styleId="19">
    <w:name w:val="Hyperlink"/>
    <w:qFormat/>
    <w:uiPriority w:val="99"/>
    <w:rPr>
      <w:color w:val="0000FF"/>
      <w:u w:val="single"/>
    </w:rPr>
  </w:style>
  <w:style w:type="character" w:styleId="20">
    <w:name w:val="annotation reference"/>
    <w:basedOn w:val="15"/>
    <w:semiHidden/>
    <w:qFormat/>
    <w:uiPriority w:val="0"/>
    <w:rPr>
      <w:sz w:val="21"/>
      <w:szCs w:val="21"/>
    </w:rPr>
  </w:style>
  <w:style w:type="character" w:customStyle="1" w:styleId="21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22">
    <w:name w:val="列出段落 字符"/>
    <w:link w:val="23"/>
    <w:qFormat/>
    <w:uiPriority w:val="0"/>
    <w:rPr>
      <w:kern w:val="2"/>
      <w:sz w:val="21"/>
      <w:szCs w:val="22"/>
      <w:lang w:bidi="ar-SA"/>
    </w:rPr>
  </w:style>
  <w:style w:type="paragraph" w:customStyle="1" w:styleId="23">
    <w:name w:val="列表段落1"/>
    <w:basedOn w:val="1"/>
    <w:link w:val="22"/>
    <w:qFormat/>
    <w:uiPriority w:val="0"/>
    <w:pPr>
      <w:ind w:firstLine="420" w:firstLineChars="200"/>
    </w:pPr>
    <w:rPr>
      <w:szCs w:val="22"/>
    </w:rPr>
  </w:style>
  <w:style w:type="paragraph" w:customStyle="1" w:styleId="24">
    <w:name w:val="列表段落2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2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6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paragraph" w:styleId="27">
    <w:name w:val="List Paragraph"/>
    <w:basedOn w:val="1"/>
    <w:qFormat/>
    <w:uiPriority w:val="99"/>
    <w:pPr>
      <w:ind w:left="720"/>
      <w:contextualSpacing/>
    </w:pPr>
  </w:style>
  <w:style w:type="character" w:customStyle="1" w:styleId="28">
    <w:name w:val="标题 1 字符"/>
    <w:basedOn w:val="15"/>
    <w:link w:val="3"/>
    <w:qFormat/>
    <w:uiPriority w:val="0"/>
    <w:rPr>
      <w:rFonts w:asciiTheme="majorHAnsi" w:hAnsiTheme="majorHAnsi" w:eastAsiaTheme="majorEastAsia" w:cstheme="majorBidi"/>
      <w:color w:val="376092" w:themeColor="accent1" w:themeShade="BF"/>
      <w:kern w:val="2"/>
      <w:sz w:val="32"/>
      <w:szCs w:val="32"/>
      <w:lang w:val="en-US"/>
    </w:rPr>
  </w:style>
  <w:style w:type="paragraph" w:customStyle="1" w:styleId="29">
    <w:name w:val="TOC 标题1"/>
    <w:basedOn w:val="3"/>
    <w:next w:val="1"/>
    <w:unhideWhenUsed/>
    <w:qFormat/>
    <w:uiPriority w:val="39"/>
    <w:pPr>
      <w:spacing w:line="259" w:lineRule="auto"/>
      <w:outlineLvl w:val="9"/>
    </w:pPr>
    <w:rPr>
      <w:kern w:val="0"/>
      <w:lang w:val="en-CA"/>
    </w:rPr>
  </w:style>
  <w:style w:type="paragraph" w:customStyle="1" w:styleId="30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正文文本 字符"/>
    <w:basedOn w:val="15"/>
    <w:link w:val="6"/>
    <w:qFormat/>
    <w:uiPriority w:val="0"/>
    <w:rPr>
      <w:kern w:val="2"/>
      <w:sz w:val="21"/>
      <w:szCs w:val="24"/>
      <w:lang w:val="en-US"/>
    </w:rPr>
  </w:style>
  <w:style w:type="character" w:customStyle="1" w:styleId="32">
    <w:name w:val="日期 字符"/>
    <w:basedOn w:val="15"/>
    <w:link w:val="7"/>
    <w:qFormat/>
    <w:uiPriority w:val="0"/>
    <w:rPr>
      <w:kern w:val="2"/>
      <w:sz w:val="21"/>
      <w:szCs w:val="24"/>
      <w:lang w:val="en-US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9CF40-E30B-4E39-9ABA-080511282D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8</Pages>
  <Words>2512</Words>
  <Characters>2638</Characters>
  <Lines>39</Lines>
  <Paragraphs>11</Paragraphs>
  <TotalTime>0</TotalTime>
  <ScaleCrop>false</ScaleCrop>
  <LinksUpToDate>false</LinksUpToDate>
  <CharactersWithSpaces>2696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2025-06-26T07:41:00Z</dcterms:created>
  <dc:creator>SkyUN.Org</dc:creator>
  <cp:lastModifiedBy>ares·yang</cp:lastModifiedBy>
  <cp:lastPrinted>2023-09-07T02:29:00Z</cp:lastPrinted>
  <dcterms:modified xsi:type="dcterms:W3CDTF">2026-07-02T06:13:34Z</dcterms:modified>
  <dc:title>2021年全国本科院校纳税风险管控案例大赛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4057603E9A574ED8BD68D46FF11CE311_13</vt:lpwstr>
  </property>
  <property fmtid="{D5CDD505-2E9C-101B-9397-08002B2CF9AE}" pid="4" name="KSOTemplateDocerSaveRecord">
    <vt:lpwstr>eyJoZGlkIjoiMjFmMmQ4OWQ2YWMxODU2Y2MxNGM2ZjI0ZGUwNGVlNmQiLCJ1c2VySWQiOiIzOTMwNDE5NTAifQ==</vt:lpwstr>
  </property>
</Properties>
</file>