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800" w:lineRule="exact"/>
        <w:jc w:val="both"/>
        <w:rPr>
          <w:rFonts w:ascii="黑体" w:hAnsi="黑体" w:eastAsia="黑体"/>
          <w:b w:val="0"/>
          <w:bCs/>
          <w:sz w:val="32"/>
          <w:szCs w:val="32"/>
        </w:rPr>
      </w:pPr>
      <w:r>
        <w:rPr>
          <w:rFonts w:hint="eastAsia" w:ascii="黑体" w:hAnsi="黑体" w:eastAsia="黑体"/>
          <w:b w:val="0"/>
          <w:bCs/>
          <w:sz w:val="30"/>
          <w:szCs w:val="30"/>
          <w:lang w:val="en-US" w:eastAsia="zh-CN"/>
        </w:rPr>
        <w:t>附件1</w:t>
      </w:r>
      <w:r>
        <w:rPr>
          <w:rFonts w:hint="eastAsia" w:ascii="黑体" w:hAnsi="黑体" w:eastAsia="黑体"/>
          <w:b/>
          <w:sz w:val="30"/>
          <w:szCs w:val="30"/>
          <w:lang w:val="en-US" w:eastAsia="zh-CN"/>
        </w:rPr>
        <w:t xml:space="preserve">：  </w:t>
      </w:r>
      <w:bookmarkStart w:id="0" w:name="_GoBack"/>
      <w:r>
        <w:rPr>
          <w:rFonts w:hint="eastAsia" w:ascii="黑体" w:hAnsi="黑体" w:eastAsia="黑体"/>
          <w:b/>
          <w:sz w:val="30"/>
          <w:szCs w:val="30"/>
          <w:lang w:val="en-US" w:eastAsia="zh-CN"/>
        </w:rPr>
        <w:t xml:space="preserve"> </w:t>
      </w:r>
      <w:r>
        <w:rPr>
          <w:rFonts w:hint="eastAsia" w:ascii="黑体" w:hAnsi="黑体" w:eastAsia="黑体"/>
          <w:b w:val="0"/>
          <w:bCs/>
          <w:sz w:val="32"/>
          <w:szCs w:val="32"/>
          <w:lang w:val="en-US" w:eastAsia="zh-CN"/>
        </w:rPr>
        <w:t>石家庄学院</w:t>
      </w:r>
      <w:r>
        <w:rPr>
          <w:rFonts w:hint="eastAsia" w:ascii="黑体" w:hAnsi="黑体" w:eastAsia="黑体"/>
          <w:b w:val="0"/>
          <w:bCs/>
          <w:sz w:val="32"/>
          <w:szCs w:val="32"/>
        </w:rPr>
        <w:t>本科教育教学示范案例撰写指导</w:t>
      </w:r>
      <w:bookmarkEnd w:id="0"/>
    </w:p>
    <w:p>
      <w:pPr>
        <w:spacing w:line="720" w:lineRule="exact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（案例名称）</w:t>
      </w:r>
    </w:p>
    <w:p>
      <w:pPr>
        <w:adjustRightInd w:val="0"/>
        <w:snapToGrid w:val="0"/>
        <w:spacing w:line="560" w:lineRule="exact"/>
        <w:ind w:firstLine="560" w:firstLineChars="200"/>
        <w:rPr>
          <w:rFonts w:ascii="黑体" w:hAnsi="黑体" w:eastAsia="黑体"/>
          <w:sz w:val="28"/>
          <w:szCs w:val="28"/>
        </w:rPr>
      </w:pPr>
    </w:p>
    <w:p>
      <w:pPr>
        <w:adjustRightInd w:val="0"/>
        <w:snapToGrid w:val="0"/>
        <w:spacing w:line="600" w:lineRule="exact"/>
        <w:ind w:firstLine="560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1</w:t>
      </w:r>
      <w:r>
        <w:rPr>
          <w:rFonts w:hint="eastAsia" w:ascii="黑体" w:hAnsi="黑体" w:eastAsia="黑体"/>
          <w:sz w:val="28"/>
          <w:szCs w:val="28"/>
        </w:rPr>
        <w:t>.案例简介及主要解决的教学问题</w:t>
      </w:r>
      <w:r>
        <w:rPr>
          <w:rFonts w:ascii="黑体" w:hAnsi="黑体" w:eastAsia="黑体"/>
          <w:sz w:val="28"/>
          <w:szCs w:val="28"/>
        </w:rPr>
        <w:t>（1</w:t>
      </w:r>
      <w:r>
        <w:rPr>
          <w:rFonts w:hint="eastAsia" w:ascii="黑体" w:hAnsi="黑体" w:eastAsia="黑体"/>
          <w:sz w:val="28"/>
          <w:szCs w:val="28"/>
        </w:rPr>
        <w:t>0</w:t>
      </w:r>
      <w:r>
        <w:rPr>
          <w:rFonts w:ascii="黑体" w:hAnsi="黑体" w:eastAsia="黑体"/>
          <w:sz w:val="28"/>
          <w:szCs w:val="28"/>
        </w:rPr>
        <w:t>00字左右）</w:t>
      </w:r>
    </w:p>
    <w:p>
      <w:pPr>
        <w:pStyle w:val="5"/>
        <w:adjustRightInd w:val="0"/>
        <w:snapToGrid w:val="0"/>
        <w:spacing w:line="600" w:lineRule="exact"/>
        <w:ind w:firstLine="56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简介围绕学校落实立德树人根本任务所开展的具有</w:t>
      </w:r>
      <w:r>
        <w:rPr>
          <w:rFonts w:ascii="仿宋" w:hAnsi="仿宋" w:eastAsia="仿宋"/>
          <w:sz w:val="28"/>
          <w:szCs w:val="28"/>
        </w:rPr>
        <w:t>系统性</w:t>
      </w:r>
      <w:r>
        <w:rPr>
          <w:rFonts w:hint="eastAsia" w:ascii="仿宋" w:hAnsi="仿宋" w:eastAsia="仿宋"/>
          <w:sz w:val="28"/>
          <w:szCs w:val="28"/>
        </w:rPr>
        <w:t>、</w:t>
      </w:r>
      <w:r>
        <w:rPr>
          <w:rFonts w:ascii="仿宋" w:hAnsi="仿宋" w:eastAsia="仿宋"/>
          <w:sz w:val="28"/>
          <w:szCs w:val="28"/>
        </w:rPr>
        <w:t>整体性</w:t>
      </w:r>
      <w:r>
        <w:rPr>
          <w:rFonts w:hint="eastAsia" w:ascii="仿宋" w:hAnsi="仿宋" w:eastAsia="仿宋"/>
          <w:sz w:val="28"/>
          <w:szCs w:val="28"/>
        </w:rPr>
        <w:t>、</w:t>
      </w:r>
      <w:r>
        <w:rPr>
          <w:rFonts w:ascii="仿宋" w:hAnsi="仿宋" w:eastAsia="仿宋"/>
          <w:sz w:val="28"/>
          <w:szCs w:val="28"/>
        </w:rPr>
        <w:t>前瞻性</w:t>
      </w:r>
      <w:r>
        <w:rPr>
          <w:rFonts w:hint="eastAsia" w:ascii="仿宋" w:hAnsi="仿宋" w:eastAsia="仿宋"/>
          <w:sz w:val="28"/>
          <w:szCs w:val="28"/>
        </w:rPr>
        <w:t>、</w:t>
      </w:r>
      <w:r>
        <w:rPr>
          <w:rFonts w:ascii="仿宋" w:hAnsi="仿宋" w:eastAsia="仿宋"/>
          <w:sz w:val="28"/>
          <w:szCs w:val="28"/>
        </w:rPr>
        <w:t>协同性的</w:t>
      </w:r>
      <w:r>
        <w:rPr>
          <w:rFonts w:hint="eastAsia" w:ascii="仿宋" w:hAnsi="仿宋" w:eastAsia="仿宋"/>
          <w:sz w:val="28"/>
          <w:szCs w:val="28"/>
        </w:rPr>
        <w:t>本科教育教学综合改革与创新实践；立足学校办学定位和人才培养目标，阐明案例主要解决的教学问题。</w:t>
      </w:r>
    </w:p>
    <w:p>
      <w:pPr>
        <w:adjustRightInd w:val="0"/>
        <w:snapToGrid w:val="0"/>
        <w:spacing w:line="600" w:lineRule="exact"/>
        <w:ind w:firstLine="560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2</w:t>
      </w:r>
      <w:r>
        <w:rPr>
          <w:rFonts w:ascii="黑体" w:hAnsi="黑体" w:eastAsia="黑体"/>
          <w:sz w:val="28"/>
          <w:szCs w:val="28"/>
        </w:rPr>
        <w:t>.</w:t>
      </w:r>
      <w:r>
        <w:rPr>
          <w:rFonts w:hint="eastAsia" w:ascii="黑体" w:hAnsi="黑体" w:eastAsia="黑体"/>
          <w:sz w:val="28"/>
          <w:szCs w:val="28"/>
        </w:rPr>
        <w:t>案例解决教学问题的方法</w:t>
      </w:r>
      <w:r>
        <w:rPr>
          <w:rFonts w:ascii="黑体" w:hAnsi="黑体" w:eastAsia="黑体"/>
          <w:sz w:val="28"/>
          <w:szCs w:val="28"/>
        </w:rPr>
        <w:t>（</w:t>
      </w:r>
      <w:r>
        <w:rPr>
          <w:rFonts w:hint="eastAsia" w:ascii="黑体" w:hAnsi="黑体" w:eastAsia="黑体"/>
          <w:sz w:val="28"/>
          <w:szCs w:val="28"/>
        </w:rPr>
        <w:t>1</w:t>
      </w:r>
      <w:r>
        <w:rPr>
          <w:rFonts w:ascii="黑体" w:hAnsi="黑体" w:eastAsia="黑体"/>
          <w:sz w:val="28"/>
          <w:szCs w:val="28"/>
        </w:rPr>
        <w:t>500字左右）</w:t>
      </w:r>
    </w:p>
    <w:p>
      <w:pPr>
        <w:pStyle w:val="5"/>
        <w:adjustRightInd w:val="0"/>
        <w:snapToGrid w:val="0"/>
        <w:spacing w:line="600" w:lineRule="exact"/>
        <w:ind w:firstLine="56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立足学校</w:t>
      </w:r>
      <w:r>
        <w:rPr>
          <w:rFonts w:ascii="仿宋" w:hAnsi="仿宋" w:eastAsia="仿宋"/>
          <w:sz w:val="28"/>
          <w:szCs w:val="28"/>
        </w:rPr>
        <w:t>人才培养模式</w:t>
      </w:r>
      <w:r>
        <w:rPr>
          <w:rFonts w:hint="eastAsia" w:ascii="仿宋" w:hAnsi="仿宋" w:eastAsia="仿宋"/>
          <w:sz w:val="28"/>
          <w:szCs w:val="28"/>
        </w:rPr>
        <w:t>、教育教学模式和</w:t>
      </w:r>
      <w:r>
        <w:rPr>
          <w:rFonts w:ascii="仿宋" w:hAnsi="仿宋" w:eastAsia="仿宋"/>
          <w:sz w:val="28"/>
          <w:szCs w:val="28"/>
        </w:rPr>
        <w:t>管理模式上的重大改革</w:t>
      </w:r>
      <w:r>
        <w:rPr>
          <w:rFonts w:hint="eastAsia" w:ascii="仿宋" w:hAnsi="仿宋" w:eastAsia="仿宋"/>
          <w:sz w:val="28"/>
          <w:szCs w:val="28"/>
        </w:rPr>
        <w:t>实践，全面梳理学校解决教学问题的路径举措，总结凝练形成案例解决学校本科教育教学问题的主要方法。</w:t>
      </w:r>
    </w:p>
    <w:p>
      <w:pPr>
        <w:adjustRightInd w:val="0"/>
        <w:snapToGrid w:val="0"/>
        <w:spacing w:line="600" w:lineRule="exact"/>
        <w:ind w:firstLine="560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3</w:t>
      </w:r>
      <w:r>
        <w:rPr>
          <w:rFonts w:ascii="黑体" w:hAnsi="黑体" w:eastAsia="黑体"/>
          <w:sz w:val="28"/>
          <w:szCs w:val="28"/>
        </w:rPr>
        <w:t>.</w:t>
      </w:r>
      <w:r>
        <w:rPr>
          <w:rFonts w:hint="eastAsia" w:ascii="黑体" w:hAnsi="黑体" w:eastAsia="黑体"/>
          <w:sz w:val="28"/>
          <w:szCs w:val="28"/>
        </w:rPr>
        <w:t>案例的创新点</w:t>
      </w:r>
      <w:r>
        <w:rPr>
          <w:rFonts w:ascii="黑体" w:hAnsi="黑体" w:eastAsia="黑体"/>
          <w:sz w:val="28"/>
          <w:szCs w:val="28"/>
        </w:rPr>
        <w:t>（500字左右）</w:t>
      </w:r>
    </w:p>
    <w:p>
      <w:pPr>
        <w:pStyle w:val="5"/>
        <w:adjustRightInd w:val="0"/>
        <w:snapToGrid w:val="0"/>
        <w:spacing w:line="600" w:lineRule="exact"/>
        <w:ind w:firstLine="56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介绍学校实施上述举措所取得的改革与建设成效，包括教育教学改革上的创新点，对提高教学水平和教育质量、实现人才培养目标的突出效果。</w:t>
      </w:r>
    </w:p>
    <w:p>
      <w:pPr>
        <w:adjustRightInd w:val="0"/>
        <w:snapToGrid w:val="0"/>
        <w:spacing w:line="600" w:lineRule="exact"/>
        <w:ind w:firstLine="560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4</w:t>
      </w:r>
      <w:r>
        <w:rPr>
          <w:rFonts w:ascii="黑体" w:hAnsi="黑体" w:eastAsia="黑体"/>
          <w:sz w:val="28"/>
          <w:szCs w:val="28"/>
        </w:rPr>
        <w:t>.</w:t>
      </w:r>
      <w:r>
        <w:rPr>
          <w:rFonts w:hint="eastAsia" w:ascii="黑体" w:hAnsi="黑体" w:eastAsia="黑体"/>
          <w:sz w:val="28"/>
          <w:szCs w:val="28"/>
        </w:rPr>
        <w:t>改革成效及案例的推广应用效果</w:t>
      </w:r>
      <w:r>
        <w:rPr>
          <w:rFonts w:ascii="黑体" w:hAnsi="黑体" w:eastAsia="黑体"/>
          <w:sz w:val="28"/>
          <w:szCs w:val="28"/>
        </w:rPr>
        <w:t>（500字左右）</w:t>
      </w:r>
    </w:p>
    <w:p>
      <w:pPr>
        <w:pStyle w:val="5"/>
        <w:adjustRightInd w:val="0"/>
        <w:snapToGrid w:val="0"/>
        <w:spacing w:line="600" w:lineRule="exact"/>
        <w:ind w:firstLine="56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介绍学校本科教育教学综合改革工作所取得经验成效，及其示范引领和推广应用价值。</w:t>
      </w:r>
    </w:p>
    <w:p>
      <w:pPr>
        <w:pStyle w:val="6"/>
        <w:spacing w:line="500" w:lineRule="exact"/>
        <w:ind w:firstLine="560" w:firstLineChars="200"/>
        <w:textAlignment w:val="baseline"/>
        <w:rPr>
          <w:rStyle w:val="4"/>
          <w:rFonts w:hint="eastAsia" w:ascii="仿宋" w:hAnsi="仿宋" w:eastAsia="仿宋"/>
          <w:b w:val="0"/>
          <w:color w:val="000000"/>
          <w:sz w:val="28"/>
          <w:szCs w:val="28"/>
          <w:lang w:val="en-US" w:eastAsia="zh-CN"/>
        </w:rPr>
      </w:pPr>
    </w:p>
    <w:p>
      <w:pPr>
        <w:pStyle w:val="6"/>
        <w:spacing w:line="500" w:lineRule="exact"/>
        <w:ind w:firstLine="560" w:firstLineChars="200"/>
        <w:textAlignment w:val="baseline"/>
        <w:rPr>
          <w:rStyle w:val="4"/>
          <w:rFonts w:hint="eastAsia" w:ascii="仿宋" w:hAnsi="仿宋" w:eastAsia="仿宋"/>
          <w:b w:val="0"/>
          <w:color w:val="000000"/>
          <w:sz w:val="28"/>
          <w:szCs w:val="28"/>
          <w:lang w:val="en-US" w:eastAsia="zh-CN"/>
        </w:rPr>
      </w:pPr>
    </w:p>
    <w:p>
      <w:pPr>
        <w:pStyle w:val="6"/>
        <w:spacing w:line="500" w:lineRule="exact"/>
        <w:ind w:firstLine="560" w:firstLineChars="200"/>
        <w:textAlignment w:val="baseline"/>
        <w:rPr>
          <w:rStyle w:val="4"/>
          <w:rFonts w:hint="eastAsia" w:ascii="仿宋" w:hAnsi="仿宋" w:eastAsia="仿宋"/>
          <w:b w:val="0"/>
          <w:color w:val="000000"/>
          <w:sz w:val="28"/>
          <w:szCs w:val="28"/>
          <w:lang w:val="en-US" w:eastAsia="zh-CN"/>
        </w:rPr>
      </w:pPr>
    </w:p>
    <w:p>
      <w:pPr>
        <w:pStyle w:val="6"/>
        <w:spacing w:line="500" w:lineRule="exact"/>
        <w:ind w:firstLine="560" w:firstLineChars="200"/>
        <w:textAlignment w:val="baseline"/>
        <w:rPr>
          <w:rStyle w:val="4"/>
          <w:rFonts w:hint="eastAsia" w:ascii="仿宋" w:hAnsi="仿宋" w:eastAsia="仿宋"/>
          <w:b w:val="0"/>
          <w:color w:val="000000"/>
          <w:sz w:val="28"/>
          <w:szCs w:val="28"/>
          <w:lang w:val="en-US" w:eastAsia="zh-CN"/>
        </w:rPr>
      </w:pPr>
    </w:p>
    <w:p>
      <w:pPr>
        <w:pStyle w:val="6"/>
        <w:spacing w:line="500" w:lineRule="exact"/>
        <w:ind w:firstLine="560" w:firstLineChars="200"/>
        <w:textAlignment w:val="baseline"/>
        <w:rPr>
          <w:rStyle w:val="4"/>
          <w:rFonts w:hint="eastAsia" w:ascii="仿宋" w:hAnsi="仿宋" w:eastAsia="仿宋"/>
          <w:b w:val="0"/>
          <w:color w:val="000000"/>
          <w:sz w:val="28"/>
          <w:szCs w:val="28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1NWY5YTNmN2RiM2ZmNzFhYmY1MzhkZWY5NTkzOWUifQ=="/>
  </w:docVars>
  <w:rsids>
    <w:rsidRoot w:val="50FC1E2A"/>
    <w:rsid w:val="50FC1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  <w:bCs/>
    </w:rPr>
  </w:style>
  <w:style w:type="paragraph" w:customStyle="1" w:styleId="5">
    <w:name w:val="样式 手册正文 + 首行缩进:  2 字符 段前: 0.5 行 段后: 0.5 行"/>
    <w:basedOn w:val="1"/>
    <w:qFormat/>
    <w:uiPriority w:val="0"/>
    <w:pPr>
      <w:spacing w:line="360" w:lineRule="auto"/>
      <w:ind w:firstLine="200" w:firstLineChars="200"/>
    </w:pPr>
    <w:rPr>
      <w:rFonts w:eastAsia="仿宋_GB2312"/>
      <w:sz w:val="24"/>
      <w:szCs w:val="20"/>
    </w:rPr>
  </w:style>
  <w:style w:type="paragraph" w:customStyle="1" w:styleId="6">
    <w:name w:val="p0"/>
    <w:basedOn w:val="1"/>
    <w:qFormat/>
    <w:uiPriority w:val="0"/>
    <w:pPr>
      <w:widowControl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Office_12.1.0.15404_F1E327BC-269C-435d-A152-05C5408002CA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2023-09-18T02:47:00Z</dcterms:created>
  <dc:creator>jwc</dc:creator>
  <cp:lastModifiedBy>jwc</cp:lastModifiedBy>
  <dcterms:modified xsi:type="dcterms:W3CDTF">2023-09-18T02:48:26Z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2052-12.1.0.15404</vt:lpwstr>
  </property>
  <property fmtid="{D5CDD505-2E9C-101B-9397-08002B2CF9AE}" pid="3" name="ICV">
    <vt:lpwstr>8F31BC651100470898666425FA76BC79_11</vt:lpwstr>
  </property>
</Properties>
</file>