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8C92A">
      <w:pPr>
        <w:rPr>
          <w:rFonts w:hint="default" w:ascii="仿宋" w:hAnsi="仿宋" w:eastAsia="仿宋"/>
          <w:b/>
          <w:sz w:val="28"/>
          <w:szCs w:val="28"/>
          <w:lang w:val="en-US" w:eastAsia="zh-CN"/>
        </w:rPr>
      </w:pPr>
      <w:r>
        <w:rPr>
          <w:rFonts w:hint="eastAsia" w:ascii="仿宋" w:hAnsi="仿宋" w:eastAsia="仿宋"/>
          <w:b/>
          <w:sz w:val="28"/>
          <w:szCs w:val="28"/>
        </w:rPr>
        <w:t xml:space="preserve"> </w:t>
      </w:r>
      <w:r>
        <w:rPr>
          <w:rFonts w:hint="eastAsia" w:ascii="仿宋" w:hAnsi="仿宋" w:eastAsia="仿宋"/>
          <w:b/>
          <w:sz w:val="28"/>
          <w:szCs w:val="28"/>
          <w:lang w:val="en-US" w:eastAsia="zh-CN"/>
        </w:rPr>
        <w:t>附件4：</w:t>
      </w:r>
      <w:bookmarkStart w:id="40" w:name="_GoBack"/>
      <w:bookmarkEnd w:id="40"/>
    </w:p>
    <w:p w14:paraId="1B5F7016">
      <w:pPr>
        <w:rPr>
          <w:rFonts w:ascii="仿宋" w:hAnsi="仿宋" w:eastAsia="仿宋"/>
          <w:b/>
          <w:sz w:val="28"/>
          <w:szCs w:val="28"/>
        </w:rPr>
      </w:pPr>
    </w:p>
    <w:p w14:paraId="6ACDD4F0">
      <w:pPr>
        <w:rPr>
          <w:rFonts w:ascii="仿宋" w:hAnsi="仿宋" w:eastAsia="仿宋"/>
          <w:b/>
          <w:sz w:val="28"/>
          <w:szCs w:val="28"/>
        </w:rPr>
      </w:pPr>
    </w:p>
    <w:p w14:paraId="6B0B098C">
      <w:pPr>
        <w:keepNext w:val="0"/>
        <w:keepLines w:val="0"/>
        <w:pageBreakBefore w:val="0"/>
        <w:widowControl w:val="0"/>
        <w:kinsoku/>
        <w:wordWrap/>
        <w:topLinePunct w:val="0"/>
        <w:bidi w:val="0"/>
        <w:spacing w:before="159" w:line="294" w:lineRule="auto"/>
        <w:ind w:left="3374" w:right="1005" w:hanging="2719"/>
        <w:jc w:val="center"/>
        <w:textAlignment w:val="auto"/>
        <w:outlineLvl w:val="0"/>
        <w:rPr>
          <w:rFonts w:hint="eastAsia" w:ascii="Times New Roman" w:hAnsi="Times New Roman" w:eastAsia="华文中宋" w:cs="华文中宋"/>
          <w:spacing w:val="-12"/>
          <w:sz w:val="43"/>
          <w:szCs w:val="43"/>
          <w14:textOutline w14:w="7962" w14:cap="flat" w14:cmpd="sng" w14:algn="ctr">
            <w14:solidFill>
              <w14:srgbClr w14:val="000000"/>
            </w14:solidFill>
            <w14:prstDash w14:val="solid"/>
            <w14:miter w14:val="0"/>
          </w14:textOutline>
        </w:rPr>
      </w:pPr>
      <w:bookmarkStart w:id="0" w:name="_Toc32652"/>
      <w:bookmarkStart w:id="1" w:name="_Toc12530"/>
      <w:r>
        <w:rPr>
          <w:rFonts w:hint="eastAsia" w:ascii="Times New Roman" w:hAnsi="Times New Roman" w:eastAsia="华文中宋" w:cs="华文中宋"/>
          <w:spacing w:val="-12"/>
          <w:sz w:val="43"/>
          <w:szCs w:val="43"/>
          <w:lang w:val="en-US" w:eastAsia="zh-CN"/>
          <w14:textOutline w14:w="7962" w14:cap="flat" w14:cmpd="sng" w14:algn="ctr">
            <w14:solidFill>
              <w14:srgbClr w14:val="000000"/>
            </w14:solidFill>
            <w14:prstDash w14:val="solid"/>
            <w14:miter w14:val="0"/>
          </w14:textOutline>
        </w:rPr>
        <w:t>石家庄学院</w:t>
      </w:r>
      <w:r>
        <w:rPr>
          <w:rFonts w:hint="eastAsia" w:ascii="Times New Roman" w:hAnsi="Times New Roman" w:eastAsia="华文中宋" w:cs="华文中宋"/>
          <w:spacing w:val="-12"/>
          <w:sz w:val="43"/>
          <w:szCs w:val="43"/>
          <w14:textOutline w14:w="7962" w14:cap="flat" w14:cmpd="sng" w14:algn="ctr">
            <w14:solidFill>
              <w14:srgbClr w14:val="000000"/>
            </w14:solidFill>
            <w14:prstDash w14:val="solid"/>
            <w14:miter w14:val="0"/>
          </w14:textOutline>
        </w:rPr>
        <w:t>本科专业评估</w:t>
      </w:r>
      <w:bookmarkEnd w:id="0"/>
      <w:bookmarkEnd w:id="1"/>
    </w:p>
    <w:p w14:paraId="7DA58CA9">
      <w:pPr>
        <w:keepNext w:val="0"/>
        <w:keepLines w:val="0"/>
        <w:pageBreakBefore w:val="0"/>
        <w:widowControl w:val="0"/>
        <w:kinsoku/>
        <w:wordWrap/>
        <w:topLinePunct w:val="0"/>
        <w:bidi w:val="0"/>
        <w:spacing w:before="159" w:line="294" w:lineRule="auto"/>
        <w:ind w:left="3374" w:right="1005" w:hanging="2719"/>
        <w:jc w:val="center"/>
        <w:textAlignment w:val="auto"/>
        <w:outlineLvl w:val="0"/>
        <w:rPr>
          <w:rFonts w:hint="eastAsia" w:ascii="Times New Roman" w:hAnsi="Times New Roman" w:eastAsia="华文中宋" w:cs="华文中宋"/>
          <w:spacing w:val="-12"/>
          <w:sz w:val="43"/>
          <w:szCs w:val="43"/>
          <w14:textOutline w14:w="7962" w14:cap="flat" w14:cmpd="sng" w14:algn="ctr">
            <w14:solidFill>
              <w14:srgbClr w14:val="000000"/>
            </w14:solidFill>
            <w14:prstDash w14:val="solid"/>
            <w14:miter w14:val="0"/>
          </w14:textOutline>
        </w:rPr>
      </w:pPr>
      <w:bookmarkStart w:id="2" w:name="_Toc28168"/>
      <w:bookmarkStart w:id="3" w:name="_Toc27141"/>
      <w:r>
        <w:rPr>
          <w:rFonts w:hint="eastAsia" w:ascii="Times New Roman" w:hAnsi="Times New Roman" w:eastAsia="华文中宋" w:cs="华文中宋"/>
          <w:spacing w:val="-12"/>
          <w:sz w:val="43"/>
          <w:szCs w:val="43"/>
          <w14:textOutline w14:w="7962" w14:cap="flat" w14:cmpd="sng" w14:algn="ctr">
            <w14:solidFill>
              <w14:srgbClr w14:val="000000"/>
            </w14:solidFill>
            <w14:prstDash w14:val="solid"/>
            <w14:miter w14:val="0"/>
          </w14:textOutline>
        </w:rPr>
        <w:t>自评报告</w:t>
      </w:r>
      <w:bookmarkEnd w:id="2"/>
      <w:bookmarkEnd w:id="3"/>
    </w:p>
    <w:p w14:paraId="6F100165">
      <w:pPr>
        <w:jc w:val="center"/>
        <w:rPr>
          <w:rFonts w:ascii="黑体" w:hAnsi="黑体" w:eastAsia="黑体"/>
          <w:b/>
          <w:sz w:val="44"/>
          <w:szCs w:val="44"/>
        </w:rPr>
      </w:pPr>
      <w:r>
        <w:rPr>
          <w:rFonts w:ascii="Times New Roman" w:hAnsi="Times New Roman"/>
        </w:rPr>
        <w:drawing>
          <wp:inline distT="0" distB="0" distL="114300" distR="114300">
            <wp:extent cx="1999615" cy="2067560"/>
            <wp:effectExtent l="0" t="0" r="635"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999615" cy="2067560"/>
                    </a:xfrm>
                    <a:prstGeom prst="rect">
                      <a:avLst/>
                    </a:prstGeom>
                    <a:noFill/>
                    <a:ln>
                      <a:noFill/>
                    </a:ln>
                  </pic:spPr>
                </pic:pic>
              </a:graphicData>
            </a:graphic>
          </wp:inline>
        </w:drawing>
      </w:r>
    </w:p>
    <w:p w14:paraId="73EA23E8">
      <w:pPr>
        <w:jc w:val="center"/>
        <w:rPr>
          <w:rFonts w:ascii="黑体" w:hAnsi="黑体" w:eastAsia="黑体"/>
          <w:b/>
          <w:sz w:val="44"/>
          <w:szCs w:val="44"/>
        </w:rPr>
      </w:pPr>
    </w:p>
    <w:p w14:paraId="361AF5E7">
      <w:pPr>
        <w:jc w:val="center"/>
        <w:rPr>
          <w:rFonts w:ascii="黑体" w:hAnsi="黑体" w:eastAsia="黑体"/>
          <w:b/>
          <w:sz w:val="44"/>
          <w:szCs w:val="44"/>
        </w:rPr>
      </w:pPr>
    </w:p>
    <w:p w14:paraId="3AB56B48">
      <w:pPr>
        <w:keepNext w:val="0"/>
        <w:keepLines w:val="0"/>
        <w:pageBreakBefore w:val="0"/>
        <w:widowControl w:val="0"/>
        <w:kinsoku/>
        <w:wordWrap/>
        <w:topLinePunct w:val="0"/>
        <w:bidi w:val="0"/>
        <w:spacing w:before="101" w:line="763" w:lineRule="exact"/>
        <w:ind w:left="1621"/>
        <w:textAlignment w:val="auto"/>
        <w:rPr>
          <w:rFonts w:ascii="Times New Roman" w:hAnsi="Times New Roman" w:eastAsia="黑体" w:cs="黑体"/>
          <w:spacing w:val="-12"/>
          <w:position w:val="34"/>
          <w:sz w:val="31"/>
          <w:szCs w:val="31"/>
        </w:rPr>
      </w:pPr>
      <w:r>
        <w:rPr>
          <w:rFonts w:hint="eastAsia" w:ascii="Times New Roman" w:hAnsi="Times New Roman" w:eastAsia="黑体" w:cs="黑体"/>
          <w:spacing w:val="-12"/>
          <w:position w:val="34"/>
          <w:sz w:val="31"/>
          <w:szCs w:val="31"/>
        </w:rPr>
        <w:t>学院名称：</w:t>
      </w:r>
    </w:p>
    <w:p w14:paraId="5D0DDF8D">
      <w:pPr>
        <w:keepNext w:val="0"/>
        <w:keepLines w:val="0"/>
        <w:pageBreakBefore w:val="0"/>
        <w:widowControl w:val="0"/>
        <w:kinsoku/>
        <w:wordWrap/>
        <w:topLinePunct w:val="0"/>
        <w:bidi w:val="0"/>
        <w:spacing w:before="101" w:line="763" w:lineRule="exact"/>
        <w:ind w:left="1621"/>
        <w:textAlignment w:val="auto"/>
        <w:rPr>
          <w:rFonts w:hint="eastAsia" w:ascii="Times New Roman" w:hAnsi="Times New Roman" w:eastAsia="黑体" w:cs="黑体"/>
          <w:spacing w:val="-12"/>
          <w:position w:val="34"/>
          <w:sz w:val="31"/>
          <w:szCs w:val="31"/>
        </w:rPr>
      </w:pPr>
      <w:r>
        <w:rPr>
          <w:rFonts w:hint="eastAsia" w:ascii="Times New Roman" w:hAnsi="Times New Roman" w:eastAsia="黑体" w:cs="黑体"/>
          <w:spacing w:val="-12"/>
          <w:position w:val="34"/>
          <w:sz w:val="31"/>
          <w:szCs w:val="31"/>
          <w:lang w:val="en-US" w:eastAsia="zh-CN"/>
        </w:rPr>
        <w:t>专业名称</w:t>
      </w:r>
      <w:r>
        <w:rPr>
          <w:rFonts w:hint="eastAsia" w:ascii="Times New Roman" w:hAnsi="Times New Roman" w:eastAsia="黑体" w:cs="黑体"/>
          <w:spacing w:val="-12"/>
          <w:position w:val="34"/>
          <w:sz w:val="31"/>
          <w:szCs w:val="31"/>
        </w:rPr>
        <w:t>：</w:t>
      </w:r>
    </w:p>
    <w:p w14:paraId="64B43E05">
      <w:pPr>
        <w:keepNext w:val="0"/>
        <w:keepLines w:val="0"/>
        <w:pageBreakBefore w:val="0"/>
        <w:widowControl w:val="0"/>
        <w:kinsoku/>
        <w:wordWrap/>
        <w:topLinePunct w:val="0"/>
        <w:bidi w:val="0"/>
        <w:spacing w:before="101" w:line="763" w:lineRule="exact"/>
        <w:ind w:left="1621"/>
        <w:textAlignment w:val="auto"/>
        <w:rPr>
          <w:rFonts w:hint="eastAsia" w:eastAsia="黑体"/>
          <w:lang w:val="en-US" w:eastAsia="zh-CN"/>
        </w:rPr>
      </w:pPr>
      <w:r>
        <w:rPr>
          <w:rFonts w:hint="eastAsia" w:ascii="Times New Roman" w:hAnsi="Times New Roman" w:eastAsia="黑体" w:cs="黑体"/>
          <w:spacing w:val="-12"/>
          <w:position w:val="34"/>
          <w:sz w:val="31"/>
          <w:szCs w:val="31"/>
          <w:lang w:val="en-US" w:eastAsia="zh-CN"/>
        </w:rPr>
        <w:t>专业类别：</w:t>
      </w:r>
    </w:p>
    <w:p w14:paraId="19BF9EAD">
      <w:pPr>
        <w:keepNext w:val="0"/>
        <w:keepLines w:val="0"/>
        <w:pageBreakBefore w:val="0"/>
        <w:widowControl w:val="0"/>
        <w:kinsoku/>
        <w:wordWrap/>
        <w:topLinePunct w:val="0"/>
        <w:bidi w:val="0"/>
        <w:spacing w:before="101" w:line="763" w:lineRule="exact"/>
        <w:ind w:left="1621"/>
        <w:textAlignment w:val="auto"/>
        <w:rPr>
          <w:rFonts w:hint="eastAsia" w:ascii="Times New Roman" w:hAnsi="Times New Roman" w:eastAsia="黑体" w:cs="黑体"/>
          <w:spacing w:val="-12"/>
          <w:position w:val="34"/>
          <w:sz w:val="31"/>
          <w:szCs w:val="31"/>
        </w:rPr>
      </w:pPr>
      <w:r>
        <w:rPr>
          <w:rFonts w:hint="eastAsia" w:ascii="Times New Roman" w:hAnsi="Times New Roman" w:eastAsia="黑体" w:cs="黑体"/>
          <w:spacing w:val="-12"/>
          <w:position w:val="34"/>
          <w:sz w:val="31"/>
          <w:szCs w:val="31"/>
        </w:rPr>
        <w:t>专业负责人：</w:t>
      </w:r>
    </w:p>
    <w:p w14:paraId="383A0F9A">
      <w:pPr>
        <w:keepNext w:val="0"/>
        <w:keepLines w:val="0"/>
        <w:pageBreakBefore w:val="0"/>
        <w:widowControl w:val="0"/>
        <w:kinsoku/>
        <w:wordWrap/>
        <w:topLinePunct w:val="0"/>
        <w:bidi w:val="0"/>
        <w:spacing w:before="101" w:line="763" w:lineRule="exact"/>
        <w:ind w:left="1621"/>
        <w:textAlignment w:val="auto"/>
        <w:rPr>
          <w:rFonts w:hint="eastAsia" w:ascii="Times New Roman" w:hAnsi="Times New Roman" w:eastAsia="黑体" w:cs="黑体"/>
          <w:spacing w:val="-12"/>
          <w:position w:val="34"/>
          <w:sz w:val="31"/>
          <w:szCs w:val="31"/>
        </w:rPr>
      </w:pPr>
      <w:r>
        <w:rPr>
          <w:rFonts w:hint="eastAsia" w:ascii="Times New Roman" w:hAnsi="Times New Roman" w:eastAsia="黑体" w:cs="黑体"/>
          <w:spacing w:val="-12"/>
          <w:position w:val="34"/>
          <w:sz w:val="31"/>
          <w:szCs w:val="31"/>
        </w:rPr>
        <w:t>联系电话：</w:t>
      </w:r>
    </w:p>
    <w:p w14:paraId="43758690">
      <w:pPr>
        <w:keepNext w:val="0"/>
        <w:keepLines w:val="0"/>
        <w:pageBreakBefore w:val="0"/>
        <w:widowControl w:val="0"/>
        <w:kinsoku/>
        <w:wordWrap/>
        <w:topLinePunct w:val="0"/>
        <w:bidi w:val="0"/>
        <w:spacing w:before="101" w:line="763" w:lineRule="exact"/>
        <w:ind w:left="1621"/>
        <w:textAlignment w:val="auto"/>
        <w:rPr>
          <w:rFonts w:hint="eastAsia" w:ascii="Times New Roman" w:hAnsi="Times New Roman" w:eastAsia="黑体" w:cs="黑体"/>
          <w:spacing w:val="-12"/>
          <w:position w:val="34"/>
          <w:sz w:val="31"/>
          <w:szCs w:val="31"/>
        </w:rPr>
      </w:pPr>
      <w:r>
        <w:rPr>
          <w:rFonts w:hint="eastAsia" w:ascii="Times New Roman" w:hAnsi="Times New Roman" w:eastAsia="黑体" w:cs="黑体"/>
          <w:spacing w:val="-12"/>
          <w:position w:val="34"/>
          <w:sz w:val="31"/>
          <w:szCs w:val="31"/>
        </w:rPr>
        <w:t>学院审核人：</w:t>
      </w:r>
    </w:p>
    <w:p w14:paraId="5A8AEEEA">
      <w:pPr>
        <w:pStyle w:val="2"/>
        <w:rPr>
          <w:rFonts w:hint="eastAsia"/>
        </w:rPr>
      </w:pPr>
    </w:p>
    <w:p w14:paraId="5B679185">
      <w:pPr>
        <w:jc w:val="center"/>
        <w:outlineLvl w:val="0"/>
        <w:rPr>
          <w:rFonts w:ascii="黑体" w:hAnsi="黑体" w:eastAsia="黑体"/>
          <w:b/>
          <w:sz w:val="36"/>
          <w:szCs w:val="36"/>
        </w:rPr>
      </w:pPr>
      <w:bookmarkStart w:id="4" w:name="_Toc2019"/>
      <w:bookmarkStart w:id="5" w:name="_Toc27637"/>
      <w:r>
        <w:rPr>
          <w:rFonts w:hint="eastAsia" w:ascii="黑体" w:hAnsi="黑体" w:eastAsia="黑体"/>
          <w:b/>
          <w:sz w:val="36"/>
          <w:szCs w:val="36"/>
        </w:rPr>
        <w:t>专业自评报告撰写说明</w:t>
      </w:r>
      <w:bookmarkEnd w:id="4"/>
      <w:bookmarkEnd w:id="5"/>
    </w:p>
    <w:p w14:paraId="19771331">
      <w:pPr>
        <w:numPr>
          <w:ilvl w:val="0"/>
          <w:numId w:val="0"/>
        </w:numPr>
        <w:tabs>
          <w:tab w:val="left" w:pos="0"/>
        </w:tabs>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1.自评报告结构分为专业定位、培养过程、教学资源与利用、教师队伍、质量保障、学生发展、卓越培养与特色发展等七个部分。</w:t>
      </w:r>
    </w:p>
    <w:p w14:paraId="6A985ED3">
      <w:pPr>
        <w:numPr>
          <w:ilvl w:val="0"/>
          <w:numId w:val="0"/>
        </w:numPr>
        <w:tabs>
          <w:tab w:val="left" w:pos="0"/>
        </w:tabs>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2.自评报告应围绕二级指标及其审核重点，逐条用数据和事实举证达成情况、存在的主要问题及采取的改进措施，总篇幅不超过3万字</w:t>
      </w:r>
      <w:r>
        <w:rPr>
          <w:rFonts w:hint="eastAsia" w:ascii="仿宋" w:hAnsi="仿宋" w:eastAsia="仿宋" w:cs="仿宋"/>
          <w:sz w:val="32"/>
          <w:szCs w:val="32"/>
        </w:rPr>
        <w:t>（</w:t>
      </w:r>
      <w:r>
        <w:rPr>
          <w:rFonts w:hint="eastAsia" w:ascii="仿宋" w:hAnsi="仿宋" w:eastAsia="仿宋" w:cs="仿宋"/>
          <w:sz w:val="32"/>
          <w:szCs w:val="32"/>
          <w:lang w:val="en-US" w:eastAsia="zh-CN"/>
        </w:rPr>
        <w:t>提交时，模板内容需删除</w:t>
      </w:r>
      <w:r>
        <w:rPr>
          <w:rFonts w:hint="eastAsia" w:ascii="仿宋" w:hAnsi="仿宋" w:eastAsia="仿宋" w:cs="仿宋"/>
          <w:sz w:val="32"/>
          <w:szCs w:val="32"/>
        </w:rPr>
        <w:t>）</w:t>
      </w:r>
      <w:r>
        <w:rPr>
          <w:rFonts w:hint="eastAsia" w:ascii="仿宋" w:hAnsi="仿宋" w:eastAsia="仿宋" w:cs="仿宋"/>
          <w:sz w:val="32"/>
          <w:szCs w:val="32"/>
          <w:lang w:val="en-US" w:eastAsia="zh-CN"/>
        </w:rPr>
        <w:t>。其中，对主要问题和改进措施的描述不少于1/3。</w:t>
      </w:r>
    </w:p>
    <w:p w14:paraId="220F6740">
      <w:pPr>
        <w:numPr>
          <w:ilvl w:val="0"/>
          <w:numId w:val="0"/>
        </w:numPr>
        <w:tabs>
          <w:tab w:val="left" w:pos="0"/>
        </w:tabs>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3.报告要求明确清晰给出专业“自画像”，强调以问题为导向，专业主动开展自评自查，发现问题和不足，并采取积极行动整改。</w:t>
      </w:r>
    </w:p>
    <w:p w14:paraId="23688643">
      <w:pPr>
        <w:numPr>
          <w:ilvl w:val="0"/>
          <w:numId w:val="0"/>
        </w:numPr>
        <w:tabs>
          <w:tab w:val="left" w:pos="0"/>
        </w:tabs>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4.报告所列举证数据和事实要求客观真实，并提供相应的支撑材料。支撑材料是对自评报告中描述内容的佐证，其本身并不是自评报告的一部分。</w:t>
      </w:r>
    </w:p>
    <w:p w14:paraId="5E2059D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报告一级标题三号黑体，用“1.”“2.”“3.”标识；报告二级标题小三号黑体，用“1.1”“1.2”“1.3”标识；报告三级标题四号黑体，用“1.1.1”“1.1.2”“1.1.3”标识；报告正文使用四号宋体；行距调整为固定值30磅。</w:t>
      </w:r>
    </w:p>
    <w:p w14:paraId="70881029">
      <w:pPr>
        <w:numPr>
          <w:ilvl w:val="0"/>
          <w:numId w:val="0"/>
        </w:numPr>
        <w:tabs>
          <w:tab w:val="left" w:pos="0"/>
        </w:tabs>
        <w:ind w:firstLine="640" w:firstLineChars="200"/>
        <w:rPr>
          <w:rFonts w:hint="default" w:ascii="仿宋" w:hAnsi="仿宋" w:eastAsia="仿宋" w:cs="仿宋"/>
          <w:sz w:val="32"/>
          <w:szCs w:val="32"/>
          <w:lang w:val="en-US" w:eastAsia="zh-CN"/>
        </w:rPr>
      </w:pPr>
    </w:p>
    <w:p w14:paraId="184C4A65">
      <w:pPr>
        <w:numPr>
          <w:ilvl w:val="0"/>
          <w:numId w:val="0"/>
        </w:numPr>
        <w:tabs>
          <w:tab w:val="left" w:pos="0"/>
        </w:tabs>
        <w:ind w:firstLine="640" w:firstLineChars="200"/>
        <w:rPr>
          <w:rFonts w:hint="eastAsia" w:ascii="仿宋" w:hAnsi="仿宋" w:eastAsia="仿宋" w:cs="仿宋"/>
          <w:sz w:val="32"/>
          <w:szCs w:val="32"/>
          <w:lang w:val="en-US" w:eastAsia="zh-CN"/>
        </w:rPr>
      </w:pPr>
    </w:p>
    <w:p w14:paraId="7FD1FAD5">
      <w:pPr>
        <w:numPr>
          <w:ilvl w:val="0"/>
          <w:numId w:val="0"/>
        </w:numPr>
        <w:tabs>
          <w:tab w:val="left" w:pos="0"/>
        </w:tabs>
        <w:ind w:firstLine="640" w:firstLineChars="200"/>
        <w:rPr>
          <w:rFonts w:hint="eastAsia" w:ascii="仿宋" w:hAnsi="仿宋" w:eastAsia="仿宋" w:cs="仿宋"/>
          <w:sz w:val="32"/>
          <w:szCs w:val="32"/>
          <w:lang w:val="en-US" w:eastAsia="zh-CN"/>
        </w:rPr>
      </w:pPr>
    </w:p>
    <w:p w14:paraId="201B959D">
      <w:pPr>
        <w:numPr>
          <w:ilvl w:val="0"/>
          <w:numId w:val="0"/>
        </w:numPr>
        <w:tabs>
          <w:tab w:val="left" w:pos="0"/>
        </w:tabs>
        <w:ind w:firstLine="640" w:firstLineChars="200"/>
        <w:rPr>
          <w:rFonts w:hint="default" w:ascii="仿宋" w:hAnsi="仿宋" w:eastAsia="仿宋" w:cs="仿宋"/>
          <w:sz w:val="32"/>
          <w:szCs w:val="32"/>
          <w:lang w:val="en-US" w:eastAsia="zh-CN"/>
        </w:rPr>
      </w:pPr>
    </w:p>
    <w:p w14:paraId="1CDF6896">
      <w:pPr>
        <w:keepNext w:val="0"/>
        <w:keepLines w:val="0"/>
        <w:pageBreakBefore w:val="0"/>
        <w:widowControl w:val="0"/>
        <w:kinsoku/>
        <w:wordWrap/>
        <w:topLinePunct w:val="0"/>
        <w:bidi w:val="0"/>
        <w:spacing w:before="0" w:beforeLines="0" w:after="0" w:afterLines="0" w:line="240" w:lineRule="auto"/>
        <w:ind w:left="0" w:leftChars="0" w:right="0" w:rightChars="0" w:firstLine="0" w:firstLineChars="0"/>
        <w:jc w:val="center"/>
        <w:textAlignment w:val="auto"/>
      </w:pPr>
      <w:r>
        <w:rPr>
          <w:rFonts w:hint="eastAsia" w:ascii="Times New Roman" w:hAnsi="Times New Roman" w:eastAsia="黑体" w:cs="黑体"/>
          <w:b w:val="0"/>
          <w:bCs w:val="0"/>
          <w:sz w:val="36"/>
          <w:szCs w:val="36"/>
          <w:lang w:val="en-US" w:eastAsia="zh-CN"/>
        </w:rPr>
        <w:t>目 录</w:t>
      </w:r>
    </w:p>
    <w:sdt>
      <w:sdtPr>
        <w:rPr>
          <w:rFonts w:ascii="宋体" w:hAnsi="宋体" w:eastAsia="宋体" w:cstheme="minorBidi"/>
          <w:kern w:val="2"/>
          <w:sz w:val="21"/>
          <w:szCs w:val="22"/>
          <w:lang w:val="en-US" w:eastAsia="zh-CN" w:bidi="ar-SA"/>
        </w:rPr>
        <w:id w:val="147463005"/>
        <w15:color w:val="DBDBDB"/>
        <w:docPartObj>
          <w:docPartGallery w:val="Table of Contents"/>
          <w:docPartUnique/>
        </w:docPartObj>
      </w:sdtPr>
      <w:sdtEndPr>
        <w:rPr>
          <w:rFonts w:hint="eastAsia" w:ascii="宋体" w:hAnsi="宋体" w:eastAsia="宋体" w:cs="宋体"/>
          <w:b/>
          <w:kern w:val="2"/>
          <w:sz w:val="24"/>
          <w:szCs w:val="24"/>
          <w:lang w:val="en-US" w:eastAsia="zh-CN" w:bidi="ar-SA"/>
        </w:rPr>
      </w:sdtEndPr>
      <w:sdtContent>
        <w:p w14:paraId="0A6821D9">
          <w:pPr>
            <w:keepNext w:val="0"/>
            <w:keepLines w:val="0"/>
            <w:pageBreakBefore w:val="0"/>
            <w:widowControl w:val="0"/>
            <w:kinsoku/>
            <w:wordWrap/>
            <w:topLinePunct w:val="0"/>
            <w:bidi w:val="0"/>
            <w:spacing w:before="0" w:beforeLines="0" w:after="0" w:afterLines="0" w:line="240" w:lineRule="auto"/>
            <w:ind w:left="0" w:leftChars="0" w:right="0" w:rightChars="0" w:firstLine="0" w:firstLineChars="0"/>
            <w:jc w:val="center"/>
            <w:textAlignment w:val="auto"/>
          </w:pPr>
        </w:p>
        <w:p w14:paraId="4BA57810">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TOC \o "1-2" \h \u </w:instrText>
          </w:r>
          <w:r>
            <w:rPr>
              <w:rFonts w:hint="eastAsia" w:ascii="宋体" w:hAnsi="宋体" w:eastAsia="宋体" w:cs="宋体"/>
              <w:b/>
              <w:sz w:val="24"/>
              <w:szCs w:val="24"/>
            </w:rPr>
            <w:fldChar w:fldCharType="separate"/>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_Toc32025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rPr>
            <w:t>1.专业定位</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_Toc32025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62FEF3A9">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_Toc15600 </w:instrText>
          </w:r>
          <w:r>
            <w:rPr>
              <w:rFonts w:hint="eastAsia" w:ascii="宋体" w:hAnsi="宋体" w:eastAsia="宋体" w:cs="宋体"/>
              <w:sz w:val="24"/>
              <w:szCs w:val="24"/>
            </w:rPr>
            <w:fldChar w:fldCharType="separate"/>
          </w:r>
          <w:r>
            <w:rPr>
              <w:rFonts w:hint="eastAsia" w:ascii="宋体" w:hAnsi="宋体" w:eastAsia="宋体" w:cs="宋体"/>
              <w:sz w:val="24"/>
              <w:szCs w:val="24"/>
            </w:rPr>
            <w:t>1.1专业定位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_Toc15600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5C9080E">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_Toc15151 </w:instrText>
          </w:r>
          <w:r>
            <w:rPr>
              <w:rFonts w:hint="eastAsia" w:ascii="宋体" w:hAnsi="宋体" w:eastAsia="宋体" w:cs="宋体"/>
              <w:sz w:val="24"/>
              <w:szCs w:val="24"/>
            </w:rPr>
            <w:fldChar w:fldCharType="separate"/>
          </w:r>
          <w:r>
            <w:rPr>
              <w:rFonts w:hint="eastAsia" w:ascii="宋体" w:hAnsi="宋体" w:eastAsia="宋体" w:cs="宋体"/>
              <w:sz w:val="24"/>
              <w:szCs w:val="24"/>
            </w:rPr>
            <w:t xml:space="preserve">1.2 </w:t>
          </w:r>
          <w:r>
            <w:rPr>
              <w:rFonts w:hint="eastAsia" w:ascii="宋体" w:hAnsi="宋体" w:eastAsia="宋体" w:cs="宋体"/>
              <w:sz w:val="24"/>
              <w:szCs w:val="24"/>
              <w:lang w:val="en-US" w:eastAsia="zh-CN"/>
            </w:rPr>
            <w:t>专业建设目标及规划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_Toc15151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2B71909">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_Toc29334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1.3存在的问题、原因分析及下一步整改举措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_Toc29334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482CFE5">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_Toc13223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rPr>
            <w:t>2.培养过程</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_Toc13223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2</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5AA34E73">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_Toc405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2.1培养方案</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_Toc405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9233912">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_Toc20375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2.2课程与教学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_Toc20375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57CCD3D">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_Toc15516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2.3存在的问题、原因分析及下一步整改举措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_Toc15516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1650D46">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_Toc13601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rPr>
            <w:t>3.教学资源与利用</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_Toc13601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4</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4B68A9A9">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_Toc32455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3.1教学条件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_Toc32455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6389014">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_Toc29286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3.2教学资源建设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_Toc29286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115690D">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_Toc10053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3.3存在的问题、原因分析及下一步整改举措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_Toc10053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ABC8A92">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_Toc5413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rPr>
            <w:t>4.教师队伍</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_Toc5413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5</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0242910C">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_Toc13051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4.1师资力量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_Toc13051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D85303">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_Toc15434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4.2教学科研能力</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_Toc15434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31A332B">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_Toc27734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4.3教学投入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_Toc27734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651F369">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_Toc23287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4.4教师发展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_Toc23287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1C718D9">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_Toc10933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4.5存在的问题、原因分析及下一步整改举措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_Toc10933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4EE6143">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_Toc24779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bidi="ar-SA"/>
            </w:rPr>
            <w:t>5.质量保障</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_Toc24779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7</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5BC98FFF">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_Toc9738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5.1教学质量管理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_Toc9738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4795272">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_Toc22903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5.2质量监控与改进</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_Toc22903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C81355A">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_Toc18600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5.3存在的问题、原因分析及下一步整改举措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_Toc18600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86F16A9">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_Toc26077 </w:instrText>
          </w:r>
          <w:r>
            <w:rPr>
              <w:rFonts w:hint="eastAsia" w:ascii="宋体" w:hAnsi="宋体" w:eastAsia="宋体" w:cs="宋体"/>
              <w:b/>
              <w:sz w:val="24"/>
              <w:szCs w:val="24"/>
            </w:rPr>
            <w:fldChar w:fldCharType="separate"/>
          </w:r>
          <w:r>
            <w:rPr>
              <w:rFonts w:hint="eastAsia" w:ascii="宋体" w:hAnsi="宋体" w:eastAsia="宋体" w:cs="宋体"/>
              <w:b/>
              <w:kern w:val="0"/>
              <w:sz w:val="24"/>
              <w:szCs w:val="24"/>
              <w:lang w:val="en-US" w:eastAsia="zh-CN" w:bidi="ar-SA"/>
            </w:rPr>
            <w:t>6.学生发展</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_Toc26077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8</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32C3E8DA">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_Toc30806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6.1专业认同</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_Toc30806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D8F920">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_Toc17232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6.2在校生质量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_Toc17232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293A544">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_Toc22814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6.3就业与发展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_Toc22814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4DA2903">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_Toc31153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6.4存在的问题、原因分析及下一步整改举措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_Toc31153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DF99E17">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_Toc24433 </w:instrText>
          </w:r>
          <w:r>
            <w:rPr>
              <w:rFonts w:hint="eastAsia" w:ascii="宋体" w:hAnsi="宋体" w:eastAsia="宋体" w:cs="宋体"/>
              <w:b/>
              <w:sz w:val="24"/>
              <w:szCs w:val="24"/>
            </w:rPr>
            <w:fldChar w:fldCharType="separate"/>
          </w:r>
          <w:r>
            <w:rPr>
              <w:rFonts w:hint="eastAsia" w:ascii="宋体" w:hAnsi="宋体" w:eastAsia="宋体" w:cs="宋体"/>
              <w:b/>
              <w:kern w:val="2"/>
              <w:sz w:val="24"/>
              <w:szCs w:val="24"/>
              <w:lang w:val="en-US" w:eastAsia="zh-CN" w:bidi="ar-SA"/>
            </w:rPr>
            <w:t>7.卓越培养与特色发展</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_Toc24433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9</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14:paraId="17C564B4">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_Toc20339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7.1卓越培养</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_Toc20339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269879F">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_Toc29850 </w:instrText>
          </w:r>
          <w:r>
            <w:rPr>
              <w:rFonts w:hint="eastAsia" w:ascii="宋体" w:hAnsi="宋体" w:eastAsia="宋体" w:cs="宋体"/>
              <w:sz w:val="24"/>
              <w:szCs w:val="24"/>
            </w:rPr>
            <w:fldChar w:fldCharType="separate"/>
          </w:r>
          <w:r>
            <w:rPr>
              <w:rFonts w:hint="eastAsia" w:ascii="宋体" w:hAnsi="宋体" w:eastAsia="宋体" w:cs="宋体"/>
              <w:kern w:val="2"/>
              <w:sz w:val="24"/>
              <w:szCs w:val="24"/>
              <w:lang w:val="en-US" w:eastAsia="zh-CN" w:bidi="ar-SA"/>
            </w:rPr>
            <w:t>7.2专业影响力</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_Toc29850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E2853DC">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7.3创新与特色</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_Toc29850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p>
        <w:p w14:paraId="0596B84B">
          <w:pPr>
            <w:pStyle w:val="10"/>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_Toc23249 </w:instrText>
          </w:r>
          <w:r>
            <w:rPr>
              <w:rFonts w:hint="eastAsia" w:ascii="宋体" w:hAnsi="宋体" w:eastAsia="宋体" w:cs="宋体"/>
              <w:sz w:val="24"/>
              <w:szCs w:val="24"/>
            </w:rPr>
            <w:fldChar w:fldCharType="separate"/>
          </w:r>
          <w:r>
            <w:rPr>
              <w:rFonts w:hint="eastAsia" w:ascii="宋体" w:hAnsi="宋体" w:eastAsia="宋体" w:cs="宋体"/>
              <w:kern w:val="2"/>
              <w:sz w:val="24"/>
              <w:szCs w:val="24"/>
              <w:lang w:val="en-US" w:eastAsia="zh-CN" w:bidi="ar-SA"/>
            </w:rPr>
            <w:t>7.4存在的问题、原因分析及下一步整改举措</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_Toc23249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1ED4681">
          <w:pPr>
            <w:keepNext w:val="0"/>
            <w:keepLines w:val="0"/>
            <w:pageBreakBefore w:val="0"/>
            <w:kinsoku/>
            <w:wordWrap/>
            <w:overflowPunct/>
            <w:topLinePunct w:val="0"/>
            <w:autoSpaceDE/>
            <w:autoSpaceDN/>
            <w:bidi w:val="0"/>
            <w:adjustRightInd/>
            <w:snapToGrid/>
            <w:spacing w:before="156" w:beforeLines="50" w:after="156" w:afterLines="50" w:line="360" w:lineRule="auto"/>
            <w:textAlignment w:val="auto"/>
            <w:outlineLvl w:val="9"/>
            <w:rPr>
              <w:rFonts w:hint="eastAsia" w:ascii="宋体" w:hAnsi="宋体" w:eastAsia="宋体" w:cs="宋体"/>
              <w:b/>
              <w:kern w:val="2"/>
              <w:sz w:val="24"/>
              <w:szCs w:val="24"/>
              <w:lang w:val="en-US" w:eastAsia="zh-CN" w:bidi="ar-SA"/>
            </w:rPr>
          </w:pPr>
          <w:r>
            <w:rPr>
              <w:rFonts w:hint="eastAsia" w:ascii="宋体" w:hAnsi="宋体" w:eastAsia="宋体" w:cs="宋体"/>
              <w:b/>
              <w:sz w:val="24"/>
              <w:szCs w:val="24"/>
            </w:rPr>
            <w:fldChar w:fldCharType="end"/>
          </w:r>
        </w:p>
      </w:sdtContent>
    </w:sdt>
    <w:p w14:paraId="71F2431C">
      <w:pPr>
        <w:keepNext w:val="0"/>
        <w:keepLines w:val="0"/>
        <w:pageBreakBefore w:val="0"/>
        <w:kinsoku/>
        <w:wordWrap/>
        <w:overflowPunct/>
        <w:topLinePunct w:val="0"/>
        <w:autoSpaceDE/>
        <w:autoSpaceDN/>
        <w:bidi w:val="0"/>
        <w:adjustRightInd/>
        <w:snapToGrid/>
        <w:spacing w:before="156" w:beforeLines="50" w:after="156" w:afterLines="50" w:line="360" w:lineRule="auto"/>
        <w:textAlignment w:val="auto"/>
        <w:outlineLvl w:val="9"/>
        <w:rPr>
          <w:rFonts w:hint="eastAsia" w:ascii="宋体" w:hAnsi="宋体" w:eastAsia="宋体" w:cs="宋体"/>
          <w:b/>
          <w:kern w:val="2"/>
          <w:sz w:val="24"/>
          <w:szCs w:val="24"/>
          <w:lang w:val="en-US" w:eastAsia="zh-CN" w:bidi="ar-SA"/>
        </w:rPr>
        <w:sectPr>
          <w:footerReference r:id="rId3" w:type="default"/>
          <w:pgSz w:w="11906" w:h="16838"/>
          <w:pgMar w:top="1440" w:right="1800" w:bottom="1440" w:left="1800" w:header="851" w:footer="992" w:gutter="0"/>
          <w:cols w:space="425" w:num="1"/>
          <w:docGrid w:type="lines" w:linePitch="312" w:charSpace="0"/>
        </w:sectPr>
      </w:pPr>
    </w:p>
    <w:p w14:paraId="5C35D7E5">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eastAsia" w:ascii="黑体" w:hAnsi="黑体" w:eastAsia="黑体" w:cs="黑体"/>
          <w:color w:val="000000"/>
          <w:kern w:val="0"/>
          <w:sz w:val="32"/>
          <w:szCs w:val="32"/>
          <w:lang w:val="en-US" w:eastAsia="zh-CN"/>
        </w:rPr>
      </w:pPr>
      <w:bookmarkStart w:id="6" w:name="_Toc32025"/>
      <w:r>
        <w:rPr>
          <w:rFonts w:hint="eastAsia" w:ascii="黑体" w:hAnsi="黑体" w:eastAsia="黑体" w:cs="黑体"/>
          <w:color w:val="000000"/>
          <w:kern w:val="0"/>
          <w:sz w:val="32"/>
          <w:szCs w:val="32"/>
          <w:lang w:val="en-US" w:eastAsia="zh-CN"/>
        </w:rPr>
        <w:t>1.专业定位</w:t>
      </w:r>
      <w:bookmarkEnd w:id="6"/>
    </w:p>
    <w:p w14:paraId="71ECBD75">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eastAsia="zh-CN"/>
        </w:rPr>
      </w:pPr>
      <w:bookmarkStart w:id="7" w:name="_Toc8108"/>
      <w:bookmarkStart w:id="8" w:name="_Toc15600"/>
      <w:r>
        <w:rPr>
          <w:rFonts w:hint="eastAsia" w:ascii="黑体" w:hAnsi="黑体" w:eastAsia="黑体" w:cs="黑体"/>
          <w:sz w:val="30"/>
          <w:szCs w:val="30"/>
        </w:rPr>
        <w:t>1.1专业定位</w:t>
      </w:r>
      <w:bookmarkEnd w:id="7"/>
      <w:bookmarkEnd w:id="8"/>
    </w:p>
    <w:p w14:paraId="15EF652B">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坚持贯彻立德树人根本任务，专业定位符合学校办学定位，专业服务面向清晰（1分）</w:t>
      </w:r>
    </w:p>
    <w:p w14:paraId="3F7429BE">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default" w:ascii="黑体" w:hAnsi="黑体" w:eastAsia="黑体" w:cs="黑体"/>
          <w:sz w:val="30"/>
          <w:szCs w:val="30"/>
          <w:lang w:val="en-US" w:eastAsia="zh-CN"/>
        </w:rPr>
      </w:pPr>
      <w:bookmarkStart w:id="9" w:name="_Toc19314"/>
      <w:bookmarkStart w:id="10" w:name="_Toc15151"/>
      <w:r>
        <w:rPr>
          <w:rFonts w:hint="eastAsia" w:ascii="黑体" w:hAnsi="黑体" w:eastAsia="黑体" w:cs="黑体"/>
          <w:sz w:val="30"/>
          <w:szCs w:val="30"/>
        </w:rPr>
        <w:t xml:space="preserve">1.2 </w:t>
      </w:r>
      <w:bookmarkEnd w:id="9"/>
      <w:r>
        <w:rPr>
          <w:rFonts w:hint="eastAsia" w:ascii="黑体" w:hAnsi="黑体" w:eastAsia="黑体" w:cs="黑体"/>
          <w:sz w:val="30"/>
          <w:szCs w:val="30"/>
          <w:lang w:val="en-US" w:eastAsia="zh-CN"/>
        </w:rPr>
        <w:t>专业建设目标及规划</w:t>
      </w:r>
      <w:bookmarkEnd w:id="10"/>
    </w:p>
    <w:p w14:paraId="39082DB7">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default" w:ascii="楷体" w:hAnsi="楷体" w:eastAsia="楷体" w:cs="楷体"/>
          <w:sz w:val="24"/>
          <w:szCs w:val="24"/>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：①专业建设目标明确，思路清晰，专业需求调研报告数据翔实、分析透彻（1分）。②有中长期专业发展规划，论证充分，目标和措施明确，符合学校总体规划和人才培养目标（1分）。</w:t>
      </w:r>
    </w:p>
    <w:p w14:paraId="490B793E">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default" w:ascii="黑体" w:hAnsi="黑体" w:eastAsia="黑体" w:cs="黑体"/>
          <w:sz w:val="30"/>
          <w:szCs w:val="30"/>
          <w:lang w:val="en-US" w:eastAsia="zh-CN"/>
        </w:rPr>
      </w:pPr>
      <w:bookmarkStart w:id="11" w:name="_Toc29334"/>
      <w:r>
        <w:rPr>
          <w:rFonts w:hint="eastAsia" w:ascii="黑体" w:hAnsi="黑体" w:eastAsia="黑体" w:cs="黑体"/>
          <w:sz w:val="30"/>
          <w:szCs w:val="30"/>
          <w:lang w:val="en-US" w:eastAsia="zh-CN"/>
        </w:rPr>
        <w:t>1.3存在的问题、原因分析及下一步整改举措</w:t>
      </w:r>
      <w:bookmarkEnd w:id="11"/>
    </w:p>
    <w:p w14:paraId="2D0C63B6">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bookmarkStart w:id="12" w:name="_Toc3371"/>
    </w:p>
    <w:p w14:paraId="5583AE74">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7FE36B6C">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34A8D353">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27269074">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7CDF30AA">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48B2236C">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6A7FECBA">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6B5871C6">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default" w:ascii="黑体" w:hAnsi="黑体" w:eastAsia="黑体" w:cs="黑体"/>
          <w:color w:val="000000"/>
          <w:kern w:val="0"/>
          <w:sz w:val="32"/>
          <w:szCs w:val="32"/>
          <w:lang w:val="en-US" w:eastAsia="zh-CN"/>
        </w:rPr>
      </w:pPr>
      <w:bookmarkStart w:id="13" w:name="_Toc13223"/>
      <w:r>
        <w:rPr>
          <w:rFonts w:hint="eastAsia" w:ascii="黑体" w:hAnsi="黑体" w:eastAsia="黑体" w:cs="黑体"/>
          <w:color w:val="000000"/>
          <w:kern w:val="0"/>
          <w:sz w:val="32"/>
          <w:szCs w:val="32"/>
          <w:lang w:val="en-US" w:eastAsia="zh-CN"/>
        </w:rPr>
        <w:t>2.培养过程</w:t>
      </w:r>
      <w:bookmarkEnd w:id="13"/>
    </w:p>
    <w:p w14:paraId="7194EAB7">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14" w:name="_Toc405"/>
      <w:r>
        <w:rPr>
          <w:rFonts w:hint="eastAsia" w:ascii="黑体" w:hAnsi="黑体" w:eastAsia="黑体" w:cs="黑体"/>
          <w:sz w:val="30"/>
          <w:szCs w:val="30"/>
          <w:lang w:val="en-US" w:eastAsia="zh-CN"/>
        </w:rPr>
        <w:t>2.1培养方案</w:t>
      </w:r>
      <w:bookmarkEnd w:id="14"/>
    </w:p>
    <w:p w14:paraId="76DC01B0">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培养目标有明确的公开渠道，师生对培养目标有较好的理解（0.5分）；培养目标符合学校定位、适应经济社会发展需要、体现学生德智体美劳全面发展（0.5分）。②专业有明确、公开、可衡量的、能支持培养目标达成的毕业要求及其分解指标点，覆盖国家标准和专业认证（评估）标准规定的广度和深度，体现产出导向的理念（1分）；毕业要求指标点能够清晰表述相关知识、能力和素养的内涵，反映毕业要求的内涵，并落实到具体课程中。（1分）。③课程设置满足国家标准、相关认证标准的要求，能够有效支撑毕业要求的达成，核心课程充分体现培养方向特点及专业特色（1分）；必修课与选修课、通识课与专业课、理论课与实践课比例合适，学分学时分配科学（1分）。④培养方案修订程序规范，进行充分调研，论证科学，有利益相关方、毕业生代表、行业企业专家等参与（1分）。</w:t>
      </w:r>
    </w:p>
    <w:p w14:paraId="4FD7AD32">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15" w:name="_Toc20375"/>
      <w:r>
        <w:rPr>
          <w:rFonts w:hint="eastAsia" w:ascii="黑体" w:hAnsi="黑体" w:eastAsia="黑体" w:cs="黑体"/>
          <w:sz w:val="30"/>
          <w:szCs w:val="30"/>
          <w:lang w:val="en-US" w:eastAsia="zh-CN"/>
        </w:rPr>
        <w:t>2.2课程与教学</w:t>
      </w:r>
      <w:bookmarkEnd w:id="15"/>
    </w:p>
    <w:p w14:paraId="3C8292E5">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每门课程都有完整的课程教学大纲（1分）；课程教学大纲充分体现OBE理念、课程思政理念和本专业培养目标的要求，课程目标与所支撑的毕业要求指标点的对应关系合理（2分）。②积极实施“以学为中心、以教为主导”的课堂教学，注重案例教学、项目教学等教学方法改革，积极推进信息技术与教学过程深度融合（1分）；课堂教学着力体现课程的“两性一度”和课程思政理念（1分）；课程内容、教学方法能够有效支撑课程目标的实现（1分）。③实践课程有齐备的教学大纲、指导书，教学目标与内容明确，考核标准与评价方法科学，管理过程规范，实践报告规范（1分）；综合性、设计性、研究性实践项目比例高（1分）。④近一年集中统一安排的实习学生数占比（2分）。⑤近三年，毕业论文（设计）选题来自行业企业一线需要并实行校企“双导师制”的比例（2分）；以实验、实习、工程实践和社会调查等实践性工作为基础的毕业论文（设计）比例（2分）。毕业论文（设计）质量高，近四年无抽检不合格论文（设计）（1分）。⑥严格按照学校相关文件要求进行教材审核与选用，合理选用优秀教材与参考资料（1分）。⑦开展以学生学习成果为导向的教学评价，注重多元化考核、形成性评价（1分）；考核方式及内容能够有效反映课程目标的实现，评分标准合理。（1分）。</w:t>
      </w:r>
    </w:p>
    <w:p w14:paraId="060BE518">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default" w:ascii="黑体" w:hAnsi="黑体" w:eastAsia="黑体" w:cs="黑体"/>
          <w:sz w:val="30"/>
          <w:szCs w:val="30"/>
          <w:lang w:val="en-US" w:eastAsia="zh-CN"/>
        </w:rPr>
      </w:pPr>
      <w:bookmarkStart w:id="16" w:name="_Toc15516"/>
      <w:r>
        <w:rPr>
          <w:rFonts w:hint="eastAsia" w:ascii="黑体" w:hAnsi="黑体" w:eastAsia="黑体" w:cs="黑体"/>
          <w:sz w:val="30"/>
          <w:szCs w:val="30"/>
          <w:lang w:val="en-US" w:eastAsia="zh-CN"/>
        </w:rPr>
        <w:t>2.3存在的问题、原因分析及下一步整改举措</w:t>
      </w:r>
      <w:bookmarkEnd w:id="16"/>
    </w:p>
    <w:p w14:paraId="4FAF9395">
      <w:pPr>
        <w:pStyle w:val="2"/>
        <w:rPr>
          <w:rFonts w:hint="default"/>
          <w:lang w:val="en-US" w:eastAsia="zh-CN"/>
        </w:rPr>
      </w:pPr>
    </w:p>
    <w:p w14:paraId="721B5F23">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5865DC46">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4D871BFA">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3A228261">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9"/>
        <w:rPr>
          <w:rFonts w:hint="eastAsia" w:ascii="黑体" w:hAnsi="黑体" w:eastAsia="黑体" w:cs="黑体"/>
          <w:color w:val="000000"/>
          <w:kern w:val="0"/>
          <w:sz w:val="32"/>
          <w:szCs w:val="32"/>
          <w:lang w:val="en-US" w:eastAsia="zh-CN"/>
        </w:rPr>
      </w:pPr>
    </w:p>
    <w:p w14:paraId="04D07624">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eastAsia" w:ascii="黑体" w:hAnsi="黑体" w:eastAsia="黑体" w:cs="黑体"/>
          <w:color w:val="000000"/>
          <w:kern w:val="0"/>
          <w:sz w:val="32"/>
          <w:szCs w:val="32"/>
          <w:lang w:val="en-US" w:eastAsia="zh-CN"/>
        </w:rPr>
      </w:pPr>
      <w:bookmarkStart w:id="17" w:name="_Toc13601"/>
    </w:p>
    <w:p w14:paraId="5FF5F3FB">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eastAsia" w:ascii="黑体" w:hAnsi="黑体" w:eastAsia="黑体" w:cs="黑体"/>
          <w:color w:val="000000"/>
          <w:kern w:val="0"/>
          <w:sz w:val="32"/>
          <w:szCs w:val="32"/>
          <w:lang w:val="en-US" w:eastAsia="zh-CN"/>
        </w:rPr>
      </w:pPr>
    </w:p>
    <w:p w14:paraId="5EE93895">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3.教学资源与利用</w:t>
      </w:r>
      <w:bookmarkEnd w:id="17"/>
    </w:p>
    <w:p w14:paraId="44109B78">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18" w:name="_Toc32455"/>
      <w:r>
        <w:rPr>
          <w:rFonts w:hint="eastAsia" w:ascii="黑体" w:hAnsi="黑体" w:eastAsia="黑体" w:cs="黑体"/>
          <w:sz w:val="30"/>
          <w:szCs w:val="30"/>
          <w:lang w:val="en-US" w:eastAsia="zh-CN"/>
        </w:rPr>
        <w:t>3.1教学条件</w:t>
      </w:r>
      <w:bookmarkEnd w:id="18"/>
    </w:p>
    <w:p w14:paraId="128BCEA3">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简述生均教学仪器设备值与相关专业的国家标准符合情况，简述实验场所与设备利用、实验室开放与共享情况。（1分）。②实验室管理制度完善，且执行良好（1分）；③校内外实习、实训基地稳定、充足，长期稳定的校外实习实训基地数量不低于 3 个，满足实践教学要求，利用率高（1分）；指导教师数量和能力符合要求，工作认真负责（1分）。</w:t>
      </w:r>
    </w:p>
    <w:p w14:paraId="6C9FE609">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19" w:name="_Toc29286"/>
      <w:r>
        <w:rPr>
          <w:rFonts w:hint="eastAsia" w:ascii="黑体" w:hAnsi="黑体" w:eastAsia="黑体" w:cs="黑体"/>
          <w:sz w:val="30"/>
          <w:szCs w:val="30"/>
          <w:lang w:val="en-US" w:eastAsia="zh-CN"/>
        </w:rPr>
        <w:t>3.2教学资源建设</w:t>
      </w:r>
      <w:bookmarkEnd w:id="19"/>
    </w:p>
    <w:p w14:paraId="2497772B">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与行业企业共建共享课程资源库、真实项目案例库（不含购买），向学生开放，使用率高。（2分）。②积极开展产学研成果转化与应用，近三年产业技术发展成果、产学研合作项目转化为教学资源的案例数量（2分）。</w:t>
      </w:r>
    </w:p>
    <w:p w14:paraId="46B07E46">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default" w:ascii="黑体" w:hAnsi="黑体" w:eastAsia="黑体" w:cs="黑体"/>
          <w:sz w:val="30"/>
          <w:szCs w:val="30"/>
          <w:lang w:val="en-US" w:eastAsia="zh-CN"/>
        </w:rPr>
      </w:pPr>
      <w:bookmarkStart w:id="20" w:name="_Toc10053"/>
      <w:r>
        <w:rPr>
          <w:rFonts w:hint="eastAsia" w:ascii="黑体" w:hAnsi="黑体" w:eastAsia="黑体" w:cs="黑体"/>
          <w:sz w:val="30"/>
          <w:szCs w:val="30"/>
          <w:lang w:val="en-US" w:eastAsia="zh-CN"/>
        </w:rPr>
        <w:t>3.3存在的问题、原因分析及下一步整改举措</w:t>
      </w:r>
      <w:bookmarkEnd w:id="20"/>
    </w:p>
    <w:p w14:paraId="690C11A2">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9"/>
        <w:rPr>
          <w:rFonts w:hint="eastAsia" w:ascii="Times New Roman" w:hAnsi="Times New Roman" w:eastAsia="黑体" w:cs="黑体"/>
          <w:sz w:val="30"/>
          <w:szCs w:val="30"/>
          <w:lang w:val="en-US" w:eastAsia="zh-CN"/>
        </w:rPr>
      </w:pPr>
    </w:p>
    <w:p w14:paraId="76562011">
      <w:pPr>
        <w:pStyle w:val="2"/>
        <w:rPr>
          <w:rFonts w:hint="eastAsia" w:asciiTheme="minorEastAsia" w:hAnsiTheme="minorEastAsia" w:eastAsiaTheme="minorEastAsia" w:cstheme="minorBidi"/>
          <w:b/>
          <w:kern w:val="2"/>
          <w:sz w:val="28"/>
          <w:szCs w:val="28"/>
          <w:lang w:val="en-US" w:eastAsia="zh-CN" w:bidi="ar-SA"/>
        </w:rPr>
      </w:pPr>
    </w:p>
    <w:p w14:paraId="64A82144">
      <w:pPr>
        <w:pStyle w:val="2"/>
        <w:rPr>
          <w:rFonts w:hint="eastAsia" w:asciiTheme="minorEastAsia" w:hAnsiTheme="minorEastAsia" w:eastAsiaTheme="minorEastAsia" w:cstheme="minorBidi"/>
          <w:b/>
          <w:kern w:val="2"/>
          <w:sz w:val="28"/>
          <w:szCs w:val="28"/>
          <w:lang w:val="en-US" w:eastAsia="zh-CN" w:bidi="ar-SA"/>
        </w:rPr>
      </w:pPr>
    </w:p>
    <w:p w14:paraId="37AD6FB6">
      <w:pPr>
        <w:pStyle w:val="2"/>
        <w:rPr>
          <w:rFonts w:hint="eastAsia" w:asciiTheme="minorEastAsia" w:hAnsiTheme="minorEastAsia" w:eastAsiaTheme="minorEastAsia" w:cstheme="minorBidi"/>
          <w:b/>
          <w:kern w:val="2"/>
          <w:sz w:val="28"/>
          <w:szCs w:val="28"/>
          <w:lang w:val="en-US" w:eastAsia="zh-CN" w:bidi="ar-SA"/>
        </w:rPr>
      </w:pPr>
    </w:p>
    <w:p w14:paraId="084B3351">
      <w:pPr>
        <w:pStyle w:val="2"/>
        <w:rPr>
          <w:rFonts w:hint="eastAsia" w:asciiTheme="minorEastAsia" w:hAnsiTheme="minorEastAsia" w:eastAsiaTheme="minorEastAsia" w:cstheme="minorBidi"/>
          <w:b/>
          <w:kern w:val="2"/>
          <w:sz w:val="28"/>
          <w:szCs w:val="28"/>
          <w:lang w:val="en-US" w:eastAsia="zh-CN" w:bidi="ar-SA"/>
        </w:rPr>
      </w:pPr>
    </w:p>
    <w:p w14:paraId="73F67D6C">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eastAsia" w:ascii="黑体" w:hAnsi="黑体" w:eastAsia="黑体" w:cs="黑体"/>
          <w:color w:val="000000"/>
          <w:kern w:val="0"/>
          <w:sz w:val="32"/>
          <w:szCs w:val="32"/>
          <w:lang w:val="en-US" w:eastAsia="zh-CN"/>
        </w:rPr>
      </w:pPr>
      <w:bookmarkStart w:id="21" w:name="_Toc5413"/>
    </w:p>
    <w:p w14:paraId="1D383357">
      <w:pPr>
        <w:keepNext w:val="0"/>
        <w:keepLines w:val="0"/>
        <w:pageBreakBefore w:val="0"/>
        <w:widowControl w:val="0"/>
        <w:numPr>
          <w:ilvl w:val="0"/>
          <w:numId w:val="0"/>
        </w:numPr>
        <w:kinsoku/>
        <w:wordWrap/>
        <w:overflowPunct w:val="0"/>
        <w:topLinePunct w:val="0"/>
        <w:bidi w:val="0"/>
        <w:adjustRightInd w:val="0"/>
        <w:snapToGrid w:val="0"/>
        <w:spacing w:before="312" w:beforeLines="100" w:after="312" w:afterLines="100" w:line="600" w:lineRule="exact"/>
        <w:jc w:val="center"/>
        <w:textAlignment w:val="auto"/>
        <w:outlineLvl w:val="0"/>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4.教师队伍</w:t>
      </w:r>
      <w:bookmarkEnd w:id="21"/>
    </w:p>
    <w:p w14:paraId="27A793DF">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2" w:name="_Toc13051"/>
      <w:r>
        <w:rPr>
          <w:rFonts w:hint="eastAsia" w:ascii="黑体" w:hAnsi="黑体" w:eastAsia="黑体" w:cs="黑体"/>
          <w:sz w:val="30"/>
          <w:szCs w:val="30"/>
          <w:lang w:val="en-US" w:eastAsia="zh-CN"/>
        </w:rPr>
        <w:t>4.1师资力量</w:t>
      </w:r>
      <w:bookmarkEnd w:id="22"/>
    </w:p>
    <w:p w14:paraId="216702F1">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本专业师生比，专业教师指归属到本专业的本专业教师数量，不含校领导、行政教辅部门教师、辅导员、外聘教师等（3分）。②专业负责人具有高级职称，具有较高的教学科研水平，在专业建设中发挥领头羊和主力军作用（1分）。③“双师型”教师比例（1分）。④聘请本专业相关企业行业专家担任兼职教师参与教学工作，其数量、比例和参与教学工作时数达到相关专业认证标准（1分）</w:t>
      </w:r>
    </w:p>
    <w:p w14:paraId="34C2FD00">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3" w:name="_Toc15434"/>
      <w:r>
        <w:rPr>
          <w:rFonts w:hint="eastAsia" w:ascii="黑体" w:hAnsi="黑体" w:eastAsia="黑体" w:cs="黑体"/>
          <w:sz w:val="30"/>
          <w:szCs w:val="30"/>
          <w:lang w:val="en-US" w:eastAsia="zh-CN"/>
        </w:rPr>
        <w:t>4.2教学科研能力</w:t>
      </w:r>
      <w:bookmarkEnd w:id="23"/>
    </w:p>
    <w:p w14:paraId="0F959BCC">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近四年教师获各级各类教学竞赛奖励的情况（4分）。②近四年专业教师以第一署名单位、第一作者或通讯作者发表核心期刊论文、专利、软件著作权、作品情况（2分）；近四年专业经费引进情况（2分）；近四年全专业主持国家级、省部级科研项目情况（2分）；近四年全专业获省部级及以上科学技术奖、社科成果优秀奖、教学成果奖情况（1分）。</w:t>
      </w:r>
    </w:p>
    <w:p w14:paraId="54BA5795">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4" w:name="_Toc27734"/>
      <w:r>
        <w:rPr>
          <w:rFonts w:hint="eastAsia" w:ascii="黑体" w:hAnsi="黑体" w:eastAsia="黑体" w:cs="黑体"/>
          <w:sz w:val="30"/>
          <w:szCs w:val="30"/>
          <w:lang w:val="en-US" w:eastAsia="zh-CN"/>
        </w:rPr>
        <w:t>4.3教学投入</w:t>
      </w:r>
      <w:bookmarkEnd w:id="24"/>
    </w:p>
    <w:p w14:paraId="33D758C3">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①专业教师积极投入教学，教授（含副教授）为本科生授课情况（1分）。②近四年专业教师参与各类教改项目、发表教学研究论文、出版教材情况（1分）。</w:t>
      </w:r>
    </w:p>
    <w:p w14:paraId="1E8BE121">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5" w:name="_Toc23287"/>
      <w:r>
        <w:rPr>
          <w:rFonts w:hint="eastAsia" w:ascii="黑体" w:hAnsi="黑体" w:eastAsia="黑体" w:cs="黑体"/>
          <w:sz w:val="30"/>
          <w:szCs w:val="30"/>
          <w:lang w:val="en-US" w:eastAsia="zh-CN"/>
        </w:rPr>
        <w:t>4.4教师发展</w:t>
      </w:r>
      <w:bookmarkEnd w:id="25"/>
    </w:p>
    <w:p w14:paraId="6349C744">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重点阐述：</w:t>
      </w:r>
      <w:r>
        <w:rPr>
          <w:rFonts w:hint="eastAsia" w:ascii="宋体" w:hAnsi="宋体" w:eastAsia="宋体" w:cs="宋体"/>
          <w:sz w:val="28"/>
          <w:szCs w:val="28"/>
          <w:lang w:val="en-US" w:eastAsia="zh-CN"/>
        </w:rPr>
        <w:t>①建有基层教学组织，在教学工作开展与教师能力提升方面发挥积极作用，有明确的教师队伍建设规划和政策，教学梯队相对稳定，能有效地支持教师队伍建设，对青年教师的指导和培养措施得力。未出现师德师风失范和学术不端行为（1分）。②专业实施青年教师上岗培训制度（1分）；近四年专业教师接受培养（包括参加 3 个月及以上的国内外学术访问或课程进修、赴行业企业参加3 个月及以上实践锻炼、在职攻读博士学位、参加各类教学会议或培训）的情况（1分）。③近四年全专业有省级及以上教学名师或教学团队情况（1分）。</w:t>
      </w:r>
    </w:p>
    <w:p w14:paraId="1EDD3410">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6" w:name="_Toc10933"/>
      <w:r>
        <w:rPr>
          <w:rFonts w:hint="eastAsia" w:ascii="黑体" w:hAnsi="黑体" w:eastAsia="黑体" w:cs="黑体"/>
          <w:sz w:val="30"/>
          <w:szCs w:val="30"/>
          <w:lang w:val="en-US" w:eastAsia="zh-CN"/>
        </w:rPr>
        <w:t>4.5存在的问题、原因分析及下一步整改举措</w:t>
      </w:r>
      <w:bookmarkEnd w:id="26"/>
    </w:p>
    <w:p w14:paraId="5D8B1BD5">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9"/>
        <w:rPr>
          <w:rFonts w:hint="eastAsia" w:ascii="Times New Roman" w:hAnsi="Times New Roman" w:eastAsia="黑体" w:cs="黑体"/>
          <w:sz w:val="30"/>
          <w:szCs w:val="30"/>
          <w:lang w:val="en-US" w:eastAsia="zh-CN"/>
        </w:rPr>
      </w:pPr>
    </w:p>
    <w:p w14:paraId="305EADAA">
      <w:pPr>
        <w:pStyle w:val="2"/>
        <w:numPr>
          <w:ilvl w:val="0"/>
          <w:numId w:val="0"/>
        </w:numPr>
        <w:jc w:val="center"/>
        <w:rPr>
          <w:rFonts w:hint="eastAsia" w:ascii="黑体" w:hAnsi="黑体" w:eastAsia="黑体" w:cs="黑体"/>
          <w:color w:val="000000"/>
          <w:kern w:val="0"/>
          <w:sz w:val="32"/>
          <w:szCs w:val="32"/>
          <w:lang w:val="en-US" w:eastAsia="zh-CN" w:bidi="ar-SA"/>
        </w:rPr>
      </w:pPr>
    </w:p>
    <w:p w14:paraId="305B6D99">
      <w:pPr>
        <w:pStyle w:val="2"/>
        <w:numPr>
          <w:ilvl w:val="0"/>
          <w:numId w:val="0"/>
        </w:numPr>
        <w:jc w:val="center"/>
        <w:rPr>
          <w:rFonts w:hint="eastAsia" w:ascii="黑体" w:hAnsi="黑体" w:eastAsia="黑体" w:cs="黑体"/>
          <w:color w:val="000000"/>
          <w:kern w:val="0"/>
          <w:sz w:val="32"/>
          <w:szCs w:val="32"/>
          <w:lang w:val="en-US" w:eastAsia="zh-CN" w:bidi="ar-SA"/>
        </w:rPr>
      </w:pPr>
    </w:p>
    <w:p w14:paraId="6131C64F">
      <w:pPr>
        <w:pStyle w:val="2"/>
        <w:numPr>
          <w:ilvl w:val="0"/>
          <w:numId w:val="0"/>
        </w:numPr>
        <w:jc w:val="center"/>
        <w:rPr>
          <w:rFonts w:hint="eastAsia" w:ascii="黑体" w:hAnsi="黑体" w:eastAsia="黑体" w:cs="黑体"/>
          <w:color w:val="000000"/>
          <w:kern w:val="0"/>
          <w:sz w:val="32"/>
          <w:szCs w:val="32"/>
          <w:lang w:val="en-US" w:eastAsia="zh-CN" w:bidi="ar-SA"/>
        </w:rPr>
      </w:pPr>
    </w:p>
    <w:p w14:paraId="7873D403">
      <w:pPr>
        <w:pStyle w:val="2"/>
        <w:numPr>
          <w:ilvl w:val="0"/>
          <w:numId w:val="0"/>
        </w:numPr>
        <w:jc w:val="center"/>
        <w:rPr>
          <w:rFonts w:hint="eastAsia" w:ascii="黑体" w:hAnsi="黑体" w:eastAsia="黑体" w:cs="黑体"/>
          <w:color w:val="000000"/>
          <w:kern w:val="0"/>
          <w:sz w:val="32"/>
          <w:szCs w:val="32"/>
          <w:lang w:val="en-US" w:eastAsia="zh-CN" w:bidi="ar-SA"/>
        </w:rPr>
      </w:pPr>
    </w:p>
    <w:p w14:paraId="2CDB40A1">
      <w:pPr>
        <w:pStyle w:val="2"/>
        <w:numPr>
          <w:ilvl w:val="0"/>
          <w:numId w:val="0"/>
        </w:numPr>
        <w:jc w:val="center"/>
        <w:rPr>
          <w:rFonts w:hint="eastAsia" w:ascii="黑体" w:hAnsi="黑体" w:eastAsia="黑体" w:cs="黑体"/>
          <w:color w:val="000000"/>
          <w:kern w:val="0"/>
          <w:sz w:val="32"/>
          <w:szCs w:val="32"/>
          <w:lang w:val="en-US" w:eastAsia="zh-CN" w:bidi="ar-SA"/>
        </w:rPr>
      </w:pPr>
    </w:p>
    <w:p w14:paraId="446561BB">
      <w:pPr>
        <w:pStyle w:val="2"/>
        <w:numPr>
          <w:ilvl w:val="0"/>
          <w:numId w:val="0"/>
        </w:numPr>
        <w:jc w:val="center"/>
        <w:rPr>
          <w:rFonts w:hint="eastAsia" w:ascii="黑体" w:hAnsi="黑体" w:eastAsia="黑体" w:cs="黑体"/>
          <w:color w:val="000000"/>
          <w:kern w:val="0"/>
          <w:sz w:val="32"/>
          <w:szCs w:val="32"/>
          <w:lang w:val="en-US" w:eastAsia="zh-CN" w:bidi="ar-SA"/>
        </w:rPr>
      </w:pPr>
    </w:p>
    <w:p w14:paraId="53F50FA0">
      <w:pPr>
        <w:pStyle w:val="2"/>
        <w:numPr>
          <w:ilvl w:val="0"/>
          <w:numId w:val="0"/>
        </w:numPr>
        <w:jc w:val="center"/>
        <w:rPr>
          <w:rFonts w:hint="eastAsia" w:ascii="黑体" w:hAnsi="黑体" w:eastAsia="黑体" w:cs="黑体"/>
          <w:color w:val="000000"/>
          <w:kern w:val="0"/>
          <w:sz w:val="32"/>
          <w:szCs w:val="32"/>
          <w:lang w:val="en-US" w:eastAsia="zh-CN" w:bidi="ar-SA"/>
        </w:rPr>
      </w:pPr>
    </w:p>
    <w:p w14:paraId="138DDF5A">
      <w:pPr>
        <w:pStyle w:val="2"/>
        <w:numPr>
          <w:ilvl w:val="0"/>
          <w:numId w:val="0"/>
        </w:numPr>
        <w:jc w:val="center"/>
        <w:rPr>
          <w:rFonts w:hint="eastAsia" w:ascii="黑体" w:hAnsi="黑体" w:eastAsia="黑体" w:cs="黑体"/>
          <w:color w:val="000000"/>
          <w:kern w:val="0"/>
          <w:sz w:val="32"/>
          <w:szCs w:val="32"/>
          <w:lang w:val="en-US" w:eastAsia="zh-CN" w:bidi="ar-SA"/>
        </w:rPr>
      </w:pPr>
    </w:p>
    <w:p w14:paraId="226214F0">
      <w:pPr>
        <w:pStyle w:val="2"/>
        <w:numPr>
          <w:ilvl w:val="0"/>
          <w:numId w:val="0"/>
        </w:numPr>
        <w:jc w:val="center"/>
        <w:rPr>
          <w:rFonts w:hint="eastAsia" w:ascii="黑体" w:hAnsi="黑体" w:eastAsia="黑体" w:cs="黑体"/>
          <w:color w:val="000000"/>
          <w:kern w:val="0"/>
          <w:sz w:val="32"/>
          <w:szCs w:val="32"/>
          <w:lang w:val="en-US" w:eastAsia="zh-CN" w:bidi="ar-SA"/>
        </w:rPr>
      </w:pPr>
    </w:p>
    <w:p w14:paraId="4E80824B">
      <w:pPr>
        <w:pStyle w:val="2"/>
        <w:numPr>
          <w:ilvl w:val="0"/>
          <w:numId w:val="0"/>
        </w:numPr>
        <w:jc w:val="center"/>
        <w:rPr>
          <w:rFonts w:hint="eastAsia" w:ascii="黑体" w:hAnsi="黑体" w:eastAsia="黑体" w:cs="黑体"/>
          <w:color w:val="000000"/>
          <w:kern w:val="0"/>
          <w:sz w:val="32"/>
          <w:szCs w:val="32"/>
          <w:lang w:val="en-US" w:eastAsia="zh-CN" w:bidi="ar-SA"/>
        </w:rPr>
      </w:pPr>
    </w:p>
    <w:p w14:paraId="0B5994DA">
      <w:pPr>
        <w:pStyle w:val="2"/>
        <w:numPr>
          <w:ilvl w:val="0"/>
          <w:numId w:val="0"/>
        </w:numPr>
        <w:jc w:val="center"/>
        <w:rPr>
          <w:rFonts w:hint="eastAsia" w:ascii="黑体" w:hAnsi="黑体" w:eastAsia="黑体" w:cs="黑体"/>
          <w:color w:val="000000"/>
          <w:kern w:val="0"/>
          <w:sz w:val="32"/>
          <w:szCs w:val="32"/>
          <w:lang w:val="en-US" w:eastAsia="zh-CN" w:bidi="ar-SA"/>
        </w:rPr>
      </w:pPr>
    </w:p>
    <w:p w14:paraId="2D6941C1">
      <w:pPr>
        <w:pStyle w:val="2"/>
        <w:numPr>
          <w:ilvl w:val="0"/>
          <w:numId w:val="0"/>
        </w:numPr>
        <w:jc w:val="center"/>
        <w:rPr>
          <w:rFonts w:hint="eastAsia" w:ascii="黑体" w:hAnsi="黑体" w:eastAsia="黑体" w:cs="黑体"/>
          <w:color w:val="000000"/>
          <w:kern w:val="0"/>
          <w:sz w:val="32"/>
          <w:szCs w:val="32"/>
          <w:lang w:val="en-US" w:eastAsia="zh-CN" w:bidi="ar-SA"/>
        </w:rPr>
      </w:pPr>
    </w:p>
    <w:p w14:paraId="38CD1B64">
      <w:pPr>
        <w:pStyle w:val="2"/>
        <w:numPr>
          <w:ilvl w:val="0"/>
          <w:numId w:val="0"/>
        </w:numPr>
        <w:jc w:val="center"/>
        <w:rPr>
          <w:rFonts w:hint="eastAsia" w:ascii="黑体" w:hAnsi="黑体" w:eastAsia="黑体" w:cs="黑体"/>
          <w:color w:val="000000"/>
          <w:kern w:val="0"/>
          <w:sz w:val="32"/>
          <w:szCs w:val="32"/>
          <w:lang w:val="en-US" w:eastAsia="zh-CN" w:bidi="ar-SA"/>
        </w:rPr>
      </w:pPr>
    </w:p>
    <w:p w14:paraId="33E7E01E">
      <w:pPr>
        <w:pStyle w:val="2"/>
        <w:numPr>
          <w:ilvl w:val="0"/>
          <w:numId w:val="0"/>
        </w:numPr>
        <w:jc w:val="center"/>
        <w:rPr>
          <w:rFonts w:hint="eastAsia" w:ascii="黑体" w:hAnsi="黑体" w:eastAsia="黑体" w:cs="黑体"/>
          <w:color w:val="000000"/>
          <w:kern w:val="0"/>
          <w:sz w:val="32"/>
          <w:szCs w:val="32"/>
          <w:lang w:val="en-US" w:eastAsia="zh-CN" w:bidi="ar-SA"/>
        </w:rPr>
      </w:pPr>
    </w:p>
    <w:p w14:paraId="38DD86DE">
      <w:pPr>
        <w:pStyle w:val="2"/>
        <w:numPr>
          <w:ilvl w:val="0"/>
          <w:numId w:val="0"/>
        </w:numPr>
        <w:jc w:val="center"/>
        <w:outlineLvl w:val="0"/>
        <w:rPr>
          <w:rFonts w:hint="eastAsia" w:ascii="黑体" w:hAnsi="黑体" w:eastAsia="黑体" w:cs="黑体"/>
          <w:color w:val="000000"/>
          <w:kern w:val="0"/>
          <w:sz w:val="32"/>
          <w:szCs w:val="32"/>
          <w:lang w:val="en-US" w:eastAsia="zh-CN" w:bidi="ar-SA"/>
        </w:rPr>
      </w:pPr>
      <w:bookmarkStart w:id="27" w:name="_Toc24779"/>
      <w:r>
        <w:rPr>
          <w:rFonts w:hint="eastAsia" w:ascii="黑体" w:hAnsi="黑体" w:eastAsia="黑体" w:cs="黑体"/>
          <w:color w:val="000000"/>
          <w:kern w:val="0"/>
          <w:sz w:val="32"/>
          <w:szCs w:val="32"/>
          <w:lang w:val="en-US" w:eastAsia="zh-CN" w:bidi="ar-SA"/>
        </w:rPr>
        <w:t>5.质量保障</w:t>
      </w:r>
      <w:bookmarkEnd w:id="27"/>
    </w:p>
    <w:p w14:paraId="523745CF">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8" w:name="_Toc9738"/>
      <w:r>
        <w:rPr>
          <w:rFonts w:hint="eastAsia" w:ascii="黑体" w:hAnsi="黑体" w:eastAsia="黑体" w:cs="黑体"/>
          <w:sz w:val="30"/>
          <w:szCs w:val="30"/>
          <w:lang w:val="en-US" w:eastAsia="zh-CN"/>
        </w:rPr>
        <w:t>5.1教学质量管理</w:t>
      </w:r>
      <w:bookmarkEnd w:id="28"/>
    </w:p>
    <w:p w14:paraId="2AC9B2A6">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执行学校、学院教学管理制度严格，效果良好，有较为完善的内部质量监控机制，对各主要教学环节有明确的质量要求和过程监控，教学过程管理规范（1分）；教学文件齐全，教学档案完整（1分）。</w:t>
      </w:r>
    </w:p>
    <w:p w14:paraId="44A38B3B">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29" w:name="_Toc22903"/>
      <w:r>
        <w:rPr>
          <w:rFonts w:hint="eastAsia" w:ascii="黑体" w:hAnsi="黑体" w:eastAsia="黑体" w:cs="黑体"/>
          <w:sz w:val="30"/>
          <w:szCs w:val="30"/>
          <w:lang w:val="en-US" w:eastAsia="zh-CN"/>
        </w:rPr>
        <w:t>5.2质量监控与改进</w:t>
      </w:r>
      <w:bookmarkEnd w:id="29"/>
    </w:p>
    <w:p w14:paraId="17DD8443">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①对专业教学实施经常性检查、评价和反馈，对反馈结果有及时分析和改进措施（1分）；定期开展课程体系设置和课程质量的评价（2分）；建立毕业要求达成情况评价机制，定期开展毕业要求达成情况评价（1分）；建立毕业生跟踪反馈机制以及用人单位等利益相关方参与的社会评价机制，定期对培养目标的达成情况进行分析（2分）。②定期对校内外的评价结果进行综合分析，能够有效使用分析结果，推动专业人才培养质量的持续改进与提高（3分）。</w:t>
      </w:r>
    </w:p>
    <w:p w14:paraId="4193D39C">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0" w:name="_Toc18600"/>
      <w:r>
        <w:rPr>
          <w:rFonts w:hint="eastAsia" w:ascii="黑体" w:hAnsi="黑体" w:eastAsia="黑体" w:cs="黑体"/>
          <w:sz w:val="30"/>
          <w:szCs w:val="30"/>
          <w:lang w:val="en-US" w:eastAsia="zh-CN"/>
        </w:rPr>
        <w:t>5.3存在的问题、原因分析及下一步整改举措</w:t>
      </w:r>
      <w:bookmarkEnd w:id="30"/>
    </w:p>
    <w:p w14:paraId="299371E9">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583B288D">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7B8F26AB">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62F731BF">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56D8AF07">
      <w:pPr>
        <w:pStyle w:val="2"/>
        <w:numPr>
          <w:ilvl w:val="0"/>
          <w:numId w:val="0"/>
        </w:numPr>
        <w:jc w:val="center"/>
        <w:rPr>
          <w:rFonts w:hint="eastAsia" w:ascii="黑体" w:hAnsi="黑体" w:eastAsia="黑体" w:cs="黑体"/>
          <w:color w:val="000000"/>
          <w:kern w:val="0"/>
          <w:sz w:val="32"/>
          <w:szCs w:val="32"/>
          <w:lang w:val="en-US" w:eastAsia="zh-CN" w:bidi="ar-SA"/>
        </w:rPr>
      </w:pPr>
    </w:p>
    <w:p w14:paraId="0F04B4A9">
      <w:pPr>
        <w:pStyle w:val="2"/>
        <w:numPr>
          <w:ilvl w:val="0"/>
          <w:numId w:val="0"/>
        </w:numPr>
        <w:jc w:val="center"/>
        <w:rPr>
          <w:rFonts w:hint="eastAsia" w:ascii="黑体" w:hAnsi="黑体" w:eastAsia="黑体" w:cs="黑体"/>
          <w:color w:val="000000"/>
          <w:kern w:val="0"/>
          <w:sz w:val="32"/>
          <w:szCs w:val="32"/>
          <w:lang w:val="en-US" w:eastAsia="zh-CN" w:bidi="ar-SA"/>
        </w:rPr>
      </w:pPr>
    </w:p>
    <w:p w14:paraId="36F9AB28">
      <w:pPr>
        <w:pStyle w:val="2"/>
        <w:numPr>
          <w:ilvl w:val="0"/>
          <w:numId w:val="0"/>
        </w:numPr>
        <w:jc w:val="center"/>
        <w:rPr>
          <w:rFonts w:hint="eastAsia" w:ascii="黑体" w:hAnsi="黑体" w:eastAsia="黑体" w:cs="黑体"/>
          <w:color w:val="000000"/>
          <w:kern w:val="0"/>
          <w:sz w:val="32"/>
          <w:szCs w:val="32"/>
          <w:lang w:val="en-US" w:eastAsia="zh-CN" w:bidi="ar-SA"/>
        </w:rPr>
      </w:pPr>
    </w:p>
    <w:p w14:paraId="4F906941">
      <w:pPr>
        <w:pStyle w:val="2"/>
        <w:numPr>
          <w:ilvl w:val="0"/>
          <w:numId w:val="0"/>
        </w:numPr>
        <w:jc w:val="center"/>
        <w:rPr>
          <w:rFonts w:hint="eastAsia" w:ascii="黑体" w:hAnsi="黑体" w:eastAsia="黑体" w:cs="黑体"/>
          <w:color w:val="000000"/>
          <w:kern w:val="0"/>
          <w:sz w:val="32"/>
          <w:szCs w:val="32"/>
          <w:lang w:val="en-US" w:eastAsia="zh-CN" w:bidi="ar-SA"/>
        </w:rPr>
      </w:pPr>
    </w:p>
    <w:p w14:paraId="5E519AD6">
      <w:pPr>
        <w:pStyle w:val="2"/>
        <w:numPr>
          <w:ilvl w:val="0"/>
          <w:numId w:val="0"/>
        </w:numPr>
        <w:jc w:val="center"/>
        <w:outlineLvl w:val="0"/>
        <w:rPr>
          <w:rFonts w:hint="eastAsia" w:ascii="黑体" w:hAnsi="黑体" w:eastAsia="黑体" w:cs="黑体"/>
          <w:color w:val="000000"/>
          <w:kern w:val="0"/>
          <w:sz w:val="32"/>
          <w:szCs w:val="32"/>
          <w:lang w:val="en-US" w:eastAsia="zh-CN" w:bidi="ar-SA"/>
        </w:rPr>
      </w:pPr>
      <w:bookmarkStart w:id="31" w:name="_Toc26077"/>
      <w:r>
        <w:rPr>
          <w:rFonts w:hint="eastAsia" w:ascii="黑体" w:hAnsi="黑体" w:eastAsia="黑体" w:cs="黑体"/>
          <w:color w:val="000000"/>
          <w:kern w:val="0"/>
          <w:sz w:val="32"/>
          <w:szCs w:val="32"/>
          <w:lang w:val="en-US" w:eastAsia="zh-CN" w:bidi="ar-SA"/>
        </w:rPr>
        <w:t>6.学生发展</w:t>
      </w:r>
      <w:bookmarkEnd w:id="31"/>
    </w:p>
    <w:p w14:paraId="270EA375">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2" w:name="_Toc30806"/>
      <w:r>
        <w:rPr>
          <w:rFonts w:hint="eastAsia" w:ascii="黑体" w:hAnsi="黑体" w:eastAsia="黑体" w:cs="黑体"/>
          <w:sz w:val="30"/>
          <w:szCs w:val="30"/>
          <w:lang w:val="en-US" w:eastAsia="zh-CN"/>
        </w:rPr>
        <w:t>6.1专业认同</w:t>
      </w:r>
      <w:bookmarkEnd w:id="32"/>
    </w:p>
    <w:p w14:paraId="78D6A015">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①最近一年招生</w:t>
      </w:r>
      <w:r>
        <w:rPr>
          <w:rFonts w:hint="eastAsia" w:ascii="宋体" w:eastAsia="宋体" w:cs="宋体"/>
          <w:kern w:val="2"/>
          <w:sz w:val="28"/>
          <w:szCs w:val="28"/>
          <w:lang w:val="en-US" w:eastAsia="zh-CN" w:bidi="ar-SA"/>
        </w:rPr>
        <w:t>情况</w:t>
      </w:r>
      <w:r>
        <w:rPr>
          <w:rFonts w:hint="eastAsia" w:ascii="宋体" w:hAnsi="宋体" w:eastAsia="宋体" w:cs="宋体"/>
          <w:kern w:val="2"/>
          <w:sz w:val="28"/>
          <w:szCs w:val="28"/>
          <w:lang w:val="en-US" w:eastAsia="zh-CN" w:bidi="ar-SA"/>
        </w:rPr>
        <w:t>。②最近一年申请转入</w:t>
      </w:r>
      <w:r>
        <w:rPr>
          <w:rFonts w:hint="eastAsia" w:ascii="宋体" w:eastAsia="宋体" w:cs="宋体"/>
          <w:kern w:val="2"/>
          <w:sz w:val="28"/>
          <w:szCs w:val="28"/>
          <w:lang w:val="en-US" w:eastAsia="zh-CN" w:bidi="ar-SA"/>
        </w:rPr>
        <w:t>情况与</w:t>
      </w:r>
      <w:r>
        <w:rPr>
          <w:rFonts w:hint="eastAsia" w:ascii="宋体" w:hAnsi="宋体" w:eastAsia="宋体" w:cs="宋体"/>
          <w:kern w:val="2"/>
          <w:sz w:val="28"/>
          <w:szCs w:val="28"/>
          <w:lang w:val="en-US" w:eastAsia="zh-CN" w:bidi="ar-SA"/>
        </w:rPr>
        <w:t>转出</w:t>
      </w:r>
      <w:r>
        <w:rPr>
          <w:rFonts w:hint="eastAsia" w:ascii="宋体" w:eastAsia="宋体" w:cs="宋体"/>
          <w:kern w:val="2"/>
          <w:sz w:val="28"/>
          <w:szCs w:val="28"/>
          <w:lang w:val="en-US" w:eastAsia="zh-CN" w:bidi="ar-SA"/>
        </w:rPr>
        <w:t>情况</w:t>
      </w:r>
      <w:r>
        <w:rPr>
          <w:rFonts w:hint="eastAsia" w:ascii="宋体" w:hAnsi="宋体" w:eastAsia="宋体" w:cs="宋体"/>
          <w:kern w:val="2"/>
          <w:sz w:val="28"/>
          <w:szCs w:val="28"/>
          <w:lang w:val="en-US" w:eastAsia="zh-CN" w:bidi="ar-SA"/>
        </w:rPr>
        <w:t>（1分）。</w:t>
      </w:r>
    </w:p>
    <w:p w14:paraId="4EA4F620">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3" w:name="_Toc17232"/>
      <w:r>
        <w:rPr>
          <w:rFonts w:hint="eastAsia" w:ascii="黑体" w:hAnsi="黑体" w:eastAsia="黑体" w:cs="黑体"/>
          <w:sz w:val="30"/>
          <w:szCs w:val="30"/>
          <w:lang w:val="en-US" w:eastAsia="zh-CN"/>
        </w:rPr>
        <w:t>6.2在校生质量</w:t>
      </w:r>
      <w:bookmarkEnd w:id="33"/>
    </w:p>
    <w:p w14:paraId="34A18F4D">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①</w:t>
      </w:r>
      <w:r>
        <w:rPr>
          <w:rFonts w:hint="default" w:ascii="宋体" w:hAnsi="宋体" w:eastAsia="宋体" w:cs="宋体"/>
          <w:kern w:val="2"/>
          <w:sz w:val="28"/>
          <w:szCs w:val="28"/>
          <w:lang w:val="en-US" w:eastAsia="zh-CN" w:bidi="ar-SA"/>
        </w:rPr>
        <w:t>加强学风建设，营造良好学习氛围，学生勤奋学习，自觉遵守校纪校规，考风考纪良好（1分）</w:t>
      </w:r>
      <w:r>
        <w:rPr>
          <w:rFonts w:hint="eastAsia" w:ascii="宋体" w:eastAsia="宋体" w:cs="宋体"/>
          <w:kern w:val="2"/>
          <w:sz w:val="28"/>
          <w:szCs w:val="28"/>
          <w:lang w:val="en-US" w:eastAsia="zh-CN" w:bidi="ar-SA"/>
        </w:rPr>
        <w:t>。</w:t>
      </w:r>
      <w:r>
        <w:rPr>
          <w:rFonts w:hint="eastAsia" w:ascii="宋体" w:hAnsi="宋体" w:eastAsia="宋体" w:cs="宋体"/>
          <w:kern w:val="2"/>
          <w:sz w:val="28"/>
          <w:szCs w:val="28"/>
          <w:lang w:val="en-US" w:eastAsia="zh-CN" w:bidi="ar-SA"/>
        </w:rPr>
        <w:t>②在校生参与</w:t>
      </w:r>
      <w:r>
        <w:rPr>
          <w:rFonts w:hint="eastAsia" w:ascii="宋体" w:eastAsia="宋体" w:cs="宋体"/>
          <w:kern w:val="2"/>
          <w:sz w:val="28"/>
          <w:szCs w:val="28"/>
          <w:lang w:val="en-US" w:eastAsia="zh-CN" w:bidi="ar-SA"/>
        </w:rPr>
        <w:t>科研、发表论文、申请专利、参加各级各类竞赛及获奖情况（8分）；</w:t>
      </w:r>
      <w:r>
        <w:rPr>
          <w:rFonts w:hint="eastAsia" w:ascii="宋体" w:hAnsi="宋体" w:eastAsia="宋体" w:cs="宋体"/>
          <w:kern w:val="2"/>
          <w:sz w:val="28"/>
          <w:szCs w:val="28"/>
          <w:lang w:val="en-US" w:eastAsia="zh-CN" w:bidi="ar-SA"/>
        </w:rPr>
        <w:t>在校生获国家认可的职业资格证书</w:t>
      </w:r>
      <w:r>
        <w:rPr>
          <w:rFonts w:hint="eastAsia" w:ascii="宋体" w:eastAsia="宋体" w:cs="宋体"/>
          <w:kern w:val="2"/>
          <w:sz w:val="28"/>
          <w:szCs w:val="28"/>
          <w:lang w:val="en-US" w:eastAsia="zh-CN" w:bidi="ar-SA"/>
        </w:rPr>
        <w:t>情况</w:t>
      </w:r>
      <w:r>
        <w:rPr>
          <w:rFonts w:hint="eastAsia" w:ascii="宋体" w:hAnsi="宋体" w:eastAsia="宋体" w:cs="宋体"/>
          <w:kern w:val="2"/>
          <w:sz w:val="28"/>
          <w:szCs w:val="28"/>
          <w:lang w:val="en-US" w:eastAsia="zh-CN" w:bidi="ar-SA"/>
        </w:rPr>
        <w:t>（1分）</w:t>
      </w:r>
      <w:r>
        <w:rPr>
          <w:rFonts w:hint="eastAsia" w:ascii="宋体" w:eastAsia="宋体" w:cs="宋体"/>
          <w:kern w:val="2"/>
          <w:sz w:val="28"/>
          <w:szCs w:val="28"/>
          <w:lang w:val="en-US" w:eastAsia="zh-CN" w:bidi="ar-SA"/>
        </w:rPr>
        <w:t>、最近一年</w:t>
      </w:r>
      <w:r>
        <w:rPr>
          <w:rFonts w:hint="eastAsia" w:ascii="宋体" w:hAnsi="宋体" w:eastAsia="宋体" w:cs="宋体"/>
          <w:kern w:val="2"/>
          <w:sz w:val="28"/>
          <w:szCs w:val="28"/>
          <w:lang w:val="en-US" w:eastAsia="zh-CN" w:bidi="ar-SA"/>
        </w:rPr>
        <w:t>体质健康测试达标率（1分）。</w:t>
      </w:r>
    </w:p>
    <w:p w14:paraId="2F156006">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4" w:name="_Toc22814"/>
      <w:r>
        <w:rPr>
          <w:rFonts w:hint="eastAsia" w:ascii="黑体" w:hAnsi="黑体" w:eastAsia="黑体" w:cs="黑体"/>
          <w:sz w:val="30"/>
          <w:szCs w:val="30"/>
          <w:lang w:val="en-US" w:eastAsia="zh-CN"/>
        </w:rPr>
        <w:t>6.3就业与发展</w:t>
      </w:r>
      <w:bookmarkEnd w:id="34"/>
    </w:p>
    <w:p w14:paraId="61F9549F">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①</w:t>
      </w:r>
      <w:r>
        <w:rPr>
          <w:rFonts w:hint="eastAsia" w:ascii="宋体" w:eastAsia="宋体" w:cs="宋体"/>
          <w:kern w:val="2"/>
          <w:sz w:val="28"/>
          <w:szCs w:val="28"/>
          <w:lang w:val="en-US" w:eastAsia="zh-CN" w:bidi="ar-SA"/>
        </w:rPr>
        <w:t>最新一届</w:t>
      </w:r>
      <w:r>
        <w:rPr>
          <w:rFonts w:hint="eastAsia" w:ascii="宋体" w:hAnsi="宋体" w:eastAsia="宋体" w:cs="宋体"/>
          <w:kern w:val="2"/>
          <w:sz w:val="28"/>
          <w:szCs w:val="28"/>
          <w:lang w:val="en-US" w:eastAsia="zh-CN" w:bidi="ar-SA"/>
        </w:rPr>
        <w:t>毕业生</w:t>
      </w:r>
      <w:r>
        <w:rPr>
          <w:rFonts w:hint="eastAsia" w:ascii="宋体" w:eastAsia="宋体" w:cs="宋体"/>
          <w:kern w:val="2"/>
          <w:sz w:val="28"/>
          <w:szCs w:val="28"/>
          <w:lang w:val="en-US" w:eastAsia="zh-CN" w:bidi="ar-SA"/>
        </w:rPr>
        <w:t>就业、升学情况（4分）</w:t>
      </w:r>
      <w:r>
        <w:rPr>
          <w:rFonts w:hint="eastAsia" w:ascii="宋体" w:hAnsi="宋体" w:eastAsia="宋体" w:cs="宋体"/>
          <w:kern w:val="2"/>
          <w:sz w:val="28"/>
          <w:szCs w:val="28"/>
          <w:lang w:val="en-US" w:eastAsia="zh-CN" w:bidi="ar-SA"/>
        </w:rPr>
        <w:t>。②近10年专业领域的优秀毕业生5个典型案例及培养经验（1分）。</w:t>
      </w:r>
    </w:p>
    <w:p w14:paraId="44AE3B49">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5" w:name="_Toc31153"/>
      <w:r>
        <w:rPr>
          <w:rFonts w:hint="eastAsia" w:ascii="黑体" w:hAnsi="黑体" w:eastAsia="黑体" w:cs="黑体"/>
          <w:sz w:val="30"/>
          <w:szCs w:val="30"/>
          <w:lang w:val="en-US" w:eastAsia="zh-CN"/>
        </w:rPr>
        <w:t>6.4存在的问题、原因分析及下一步整改举措</w:t>
      </w:r>
      <w:bookmarkEnd w:id="35"/>
    </w:p>
    <w:p w14:paraId="43B96DE4">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9"/>
        <w:rPr>
          <w:rFonts w:hint="default" w:ascii="黑体" w:hAnsi="黑体" w:eastAsia="黑体" w:cs="黑体"/>
          <w:sz w:val="30"/>
          <w:szCs w:val="30"/>
          <w:lang w:val="en-US" w:eastAsia="zh-CN"/>
        </w:rPr>
      </w:pPr>
    </w:p>
    <w:p w14:paraId="5C3DF3A5">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157B1F65">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23263B40">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02A9AAF3">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608ED286">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70209D5D">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rPr>
          <w:rFonts w:hint="eastAsia" w:ascii="Times New Roman" w:hAnsi="Times New Roman" w:eastAsia="黑体" w:cs="黑体"/>
          <w:kern w:val="2"/>
          <w:sz w:val="30"/>
          <w:szCs w:val="30"/>
          <w:lang w:val="en-US" w:eastAsia="zh-CN" w:bidi="ar-SA"/>
        </w:rPr>
      </w:pPr>
    </w:p>
    <w:p w14:paraId="4F5835F4">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jc w:val="center"/>
        <w:textAlignment w:val="auto"/>
        <w:outlineLvl w:val="0"/>
        <w:rPr>
          <w:rFonts w:hint="eastAsia" w:ascii="Times New Roman" w:hAnsi="Times New Roman" w:eastAsia="黑体" w:cs="黑体"/>
          <w:kern w:val="2"/>
          <w:sz w:val="30"/>
          <w:szCs w:val="30"/>
          <w:lang w:val="en-US" w:eastAsia="zh-CN" w:bidi="ar-SA"/>
        </w:rPr>
      </w:pPr>
      <w:bookmarkStart w:id="36" w:name="_Toc24433"/>
      <w:r>
        <w:rPr>
          <w:rFonts w:hint="eastAsia" w:ascii="Times New Roman" w:hAnsi="Times New Roman" w:eastAsia="黑体" w:cs="黑体"/>
          <w:kern w:val="2"/>
          <w:sz w:val="30"/>
          <w:szCs w:val="30"/>
          <w:lang w:val="en-US" w:eastAsia="zh-CN" w:bidi="ar-SA"/>
        </w:rPr>
        <w:t>7.卓越培养与特色发展</w:t>
      </w:r>
      <w:bookmarkEnd w:id="36"/>
    </w:p>
    <w:p w14:paraId="1556F912">
      <w:pPr>
        <w:keepNext w:val="0"/>
        <w:keepLines w:val="0"/>
        <w:pageBreakBefore w:val="0"/>
        <w:widowControl w:val="0"/>
        <w:kinsoku/>
        <w:wordWrap/>
        <w:overflowPunct w:val="0"/>
        <w:topLinePunct w:val="0"/>
        <w:autoSpaceDE w:val="0"/>
        <w:autoSpaceDN w:val="0"/>
        <w:bidi w:val="0"/>
        <w:spacing w:before="156" w:beforeLines="50" w:after="156" w:afterLines="50" w:line="560" w:lineRule="exact"/>
        <w:ind w:firstLine="600" w:firstLineChars="200"/>
        <w:textAlignment w:val="auto"/>
        <w:outlineLvl w:val="1"/>
        <w:rPr>
          <w:rFonts w:hint="eastAsia" w:ascii="黑体" w:hAnsi="黑体" w:eastAsia="黑体" w:cs="黑体"/>
          <w:sz w:val="30"/>
          <w:szCs w:val="30"/>
          <w:lang w:val="en-US" w:eastAsia="zh-CN"/>
        </w:rPr>
      </w:pPr>
      <w:bookmarkStart w:id="37" w:name="_Toc20339"/>
      <w:r>
        <w:rPr>
          <w:rFonts w:hint="eastAsia" w:ascii="黑体" w:hAnsi="黑体" w:eastAsia="黑体" w:cs="黑体"/>
          <w:sz w:val="30"/>
          <w:szCs w:val="30"/>
          <w:lang w:val="en-US" w:eastAsia="zh-CN"/>
        </w:rPr>
        <w:t>7.1卓越培养</w:t>
      </w:r>
      <w:bookmarkEnd w:id="37"/>
    </w:p>
    <w:p w14:paraId="2E239EC5">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①产教融合卓越人才培养模式改革及其实践效果（2分）。②“四新”建设以及围绕“培育高水平教学成果”开展教研教改项目建设的举措及实施成效（2分）。③一流专业“双万计划”建设举措及成效（2分）。④一流课程“双万计划”建设举措及成效（2分）。⑤专业认证（评估）举措及成效（2分）。</w:t>
      </w:r>
    </w:p>
    <w:p w14:paraId="70F33A67">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outlineLvl w:val="1"/>
        <w:rPr>
          <w:rFonts w:hint="default"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7.2专业影响力</w:t>
      </w:r>
    </w:p>
    <w:p w14:paraId="642C767E">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outlineLvl w:val="1"/>
        <w:rPr>
          <w:rFonts w:hint="default" w:ascii="宋体" w:hAnsi="宋体" w:eastAsia="宋体" w:cs="宋体"/>
          <w:kern w:val="2"/>
          <w:sz w:val="28"/>
          <w:szCs w:val="28"/>
          <w:lang w:val="en-US" w:eastAsia="zh-CN" w:bidi="ar-SA"/>
        </w:rPr>
      </w:pPr>
      <w:bookmarkStart w:id="38" w:name="_Toc29850"/>
      <w:r>
        <w:rPr>
          <w:rFonts w:hint="eastAsia" w:ascii="黑体" w:hAnsi="黑体" w:eastAsia="黑体" w:cs="黑体"/>
          <w:kern w:val="2"/>
          <w:sz w:val="30"/>
          <w:szCs w:val="30"/>
          <w:lang w:val="en-US" w:eastAsia="zh-CN" w:bidi="ar-SA"/>
        </w:rPr>
        <w:t>重点阐述：</w:t>
      </w:r>
      <w:r>
        <w:rPr>
          <w:rFonts w:hint="eastAsia" w:ascii="宋体" w:hAnsi="宋体" w:eastAsia="宋体" w:cs="宋体"/>
          <w:kern w:val="2"/>
          <w:sz w:val="28"/>
          <w:szCs w:val="28"/>
          <w:lang w:val="en-US" w:eastAsia="zh-CN" w:bidi="ar-SA"/>
        </w:rPr>
        <w:t>最近一次</w:t>
      </w:r>
      <w:r>
        <w:rPr>
          <w:rFonts w:hint="eastAsia" w:ascii="宋体" w:eastAsia="宋体" w:cs="宋体"/>
          <w:kern w:val="2"/>
          <w:sz w:val="28"/>
          <w:szCs w:val="28"/>
          <w:lang w:val="en-US" w:eastAsia="zh-CN" w:bidi="ar-SA"/>
        </w:rPr>
        <w:t>在</w:t>
      </w:r>
      <w:r>
        <w:rPr>
          <w:rFonts w:hint="eastAsia" w:ascii="宋体" w:hAnsi="宋体" w:eastAsia="宋体" w:cs="宋体"/>
          <w:kern w:val="2"/>
          <w:sz w:val="28"/>
          <w:szCs w:val="28"/>
          <w:lang w:val="en-US" w:eastAsia="zh-CN" w:bidi="ar-SA"/>
        </w:rPr>
        <w:t>软科中国大学排名</w:t>
      </w:r>
      <w:r>
        <w:rPr>
          <w:rFonts w:hint="eastAsia" w:ascii="宋体" w:eastAsia="宋体" w:cs="宋体"/>
          <w:kern w:val="2"/>
          <w:sz w:val="28"/>
          <w:szCs w:val="28"/>
          <w:lang w:val="en-US" w:eastAsia="zh-CN" w:bidi="ar-SA"/>
        </w:rPr>
        <w:t>中的</w:t>
      </w:r>
      <w:r>
        <w:rPr>
          <w:rFonts w:hint="eastAsia" w:ascii="宋体" w:hAnsi="宋体" w:eastAsia="宋体" w:cs="宋体"/>
          <w:kern w:val="2"/>
          <w:sz w:val="28"/>
          <w:szCs w:val="28"/>
          <w:lang w:val="en-US" w:eastAsia="zh-CN" w:bidi="ar-SA"/>
        </w:rPr>
        <w:t>评级</w:t>
      </w:r>
      <w:r>
        <w:rPr>
          <w:rFonts w:hint="eastAsia" w:ascii="宋体" w:eastAsia="宋体" w:cs="宋体"/>
          <w:kern w:val="2"/>
          <w:sz w:val="28"/>
          <w:szCs w:val="28"/>
          <w:lang w:val="en-US" w:eastAsia="zh-CN" w:bidi="ar-SA"/>
        </w:rPr>
        <w:t>。</w:t>
      </w:r>
    </w:p>
    <w:p w14:paraId="6D2ACDC3">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outlineLvl w:val="1"/>
        <w:rPr>
          <w:rFonts w:hint="eastAsia" w:ascii="黑体" w:hAnsi="黑体" w:eastAsia="黑体" w:cs="黑体"/>
          <w:kern w:val="2"/>
          <w:sz w:val="30"/>
          <w:szCs w:val="30"/>
          <w:lang w:val="en-US" w:eastAsia="zh-CN" w:bidi="ar-SA"/>
        </w:rPr>
      </w:pPr>
      <w:r>
        <w:rPr>
          <w:rFonts w:hint="eastAsia" w:ascii="黑体" w:hAnsi="黑体" w:eastAsia="黑体" w:cs="黑体"/>
          <w:kern w:val="2"/>
          <w:sz w:val="30"/>
          <w:szCs w:val="30"/>
          <w:lang w:val="en-US" w:eastAsia="zh-CN" w:bidi="ar-SA"/>
        </w:rPr>
        <w:t>7.3创新与特色</w:t>
      </w:r>
      <w:bookmarkEnd w:id="38"/>
    </w:p>
    <w:p w14:paraId="18E96B64">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textAlignment w:val="auto"/>
        <w:rPr>
          <w:rFonts w:hint="eastAsia" w:ascii="楷体" w:hAnsi="楷体" w:eastAsia="楷体" w:cs="楷体"/>
          <w:kern w:val="2"/>
          <w:sz w:val="24"/>
          <w:szCs w:val="24"/>
          <w:lang w:val="en-US" w:eastAsia="zh-CN" w:bidi="ar-SA"/>
        </w:rPr>
      </w:pPr>
      <w:r>
        <w:rPr>
          <w:rFonts w:hint="eastAsia" w:ascii="宋体" w:hAnsi="宋体" w:eastAsia="宋体" w:cs="宋体"/>
          <w:b/>
          <w:bCs/>
          <w:kern w:val="2"/>
          <w:sz w:val="28"/>
          <w:szCs w:val="28"/>
          <w:lang w:val="en-US" w:eastAsia="zh-CN" w:bidi="ar-SA"/>
        </w:rPr>
        <w:t>重点阐述：</w:t>
      </w:r>
      <w:r>
        <w:rPr>
          <w:rFonts w:hint="eastAsia" w:ascii="宋体" w:hAnsi="宋体" w:eastAsia="宋体" w:cs="宋体"/>
          <w:kern w:val="2"/>
          <w:sz w:val="28"/>
          <w:szCs w:val="28"/>
          <w:lang w:val="en-US" w:eastAsia="zh-CN" w:bidi="ar-SA"/>
        </w:rPr>
        <w:t>专业定位准确，取得标志性成果，得到社会广泛认可，特色明显，与国内、省内其他学校同类专业相比具有一定优势与特色。</w:t>
      </w:r>
    </w:p>
    <w:p w14:paraId="2BBE7978">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00" w:firstLineChars="200"/>
        <w:textAlignment w:val="auto"/>
        <w:outlineLvl w:val="1"/>
        <w:rPr>
          <w:rFonts w:hint="default" w:ascii="黑体" w:hAnsi="黑体" w:eastAsia="黑体" w:cs="黑体"/>
          <w:kern w:val="2"/>
          <w:sz w:val="30"/>
          <w:szCs w:val="30"/>
          <w:lang w:val="en-US" w:eastAsia="zh-CN" w:bidi="ar-SA"/>
        </w:rPr>
      </w:pPr>
      <w:bookmarkStart w:id="39" w:name="_Toc23249"/>
      <w:r>
        <w:rPr>
          <w:rFonts w:hint="eastAsia" w:ascii="黑体" w:hAnsi="黑体" w:eastAsia="黑体" w:cs="黑体"/>
          <w:kern w:val="2"/>
          <w:sz w:val="30"/>
          <w:szCs w:val="30"/>
          <w:lang w:val="en-US" w:eastAsia="zh-CN" w:bidi="ar-SA"/>
        </w:rPr>
        <w:t>7.4存在的问题、原因分析及下一步整改举措</w:t>
      </w:r>
      <w:bookmarkEnd w:id="12"/>
      <w:bookmarkEnd w:id="39"/>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B5C8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7DB6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37DB64"/>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7906E">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D1D63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FD1D63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WY5YTNmN2RiM2ZmNzFhYmY1MzhkZWY5NTkzOWUifQ=="/>
  </w:docVars>
  <w:rsids>
    <w:rsidRoot w:val="3FC914E0"/>
    <w:rsid w:val="00FD0314"/>
    <w:rsid w:val="01E90B81"/>
    <w:rsid w:val="01EC20E2"/>
    <w:rsid w:val="031355F0"/>
    <w:rsid w:val="04A7217F"/>
    <w:rsid w:val="05681A81"/>
    <w:rsid w:val="073000D3"/>
    <w:rsid w:val="08E64274"/>
    <w:rsid w:val="0F072B97"/>
    <w:rsid w:val="0F5D017B"/>
    <w:rsid w:val="116A4DD1"/>
    <w:rsid w:val="11B4723D"/>
    <w:rsid w:val="1427797F"/>
    <w:rsid w:val="16DC407B"/>
    <w:rsid w:val="1B6046F3"/>
    <w:rsid w:val="1DBF019F"/>
    <w:rsid w:val="1E297E7C"/>
    <w:rsid w:val="200C11C9"/>
    <w:rsid w:val="224B2342"/>
    <w:rsid w:val="250F1AC0"/>
    <w:rsid w:val="2620470E"/>
    <w:rsid w:val="29C7294F"/>
    <w:rsid w:val="2B9E14E1"/>
    <w:rsid w:val="2C212496"/>
    <w:rsid w:val="2CA67075"/>
    <w:rsid w:val="2DC27F9F"/>
    <w:rsid w:val="30F72526"/>
    <w:rsid w:val="39B7795E"/>
    <w:rsid w:val="3BCA559E"/>
    <w:rsid w:val="3D146DEB"/>
    <w:rsid w:val="3D836C73"/>
    <w:rsid w:val="3F0B2EA0"/>
    <w:rsid w:val="3FC914E0"/>
    <w:rsid w:val="40650A45"/>
    <w:rsid w:val="419378A9"/>
    <w:rsid w:val="422F7161"/>
    <w:rsid w:val="444F6E15"/>
    <w:rsid w:val="44BE59BB"/>
    <w:rsid w:val="481132D5"/>
    <w:rsid w:val="4FAC7D88"/>
    <w:rsid w:val="539F104E"/>
    <w:rsid w:val="56144624"/>
    <w:rsid w:val="5E8C40B1"/>
    <w:rsid w:val="61FD76AE"/>
    <w:rsid w:val="638702B8"/>
    <w:rsid w:val="66FD5997"/>
    <w:rsid w:val="67C82022"/>
    <w:rsid w:val="6A6E5ADF"/>
    <w:rsid w:val="6AF7471B"/>
    <w:rsid w:val="6CCA46FC"/>
    <w:rsid w:val="6CCC0825"/>
    <w:rsid w:val="6E105C5A"/>
    <w:rsid w:val="706B4E3F"/>
    <w:rsid w:val="70DB2B71"/>
    <w:rsid w:val="72C17B33"/>
    <w:rsid w:val="74806F69"/>
    <w:rsid w:val="768A4617"/>
    <w:rsid w:val="77464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560" w:lineRule="exact"/>
    </w:pPr>
    <w:rPr>
      <w:rFonts w:ascii="仿宋_GB2312" w:hAnsi="宋体"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WPSOffice手动目录 1"/>
    <w:qFormat/>
    <w:uiPriority w:val="0"/>
    <w:pPr>
      <w:ind w:leftChars="0"/>
    </w:pPr>
    <w:rPr>
      <w:rFonts w:asciiTheme="minorHAnsi" w:hAnsiTheme="minorHAnsi" w:eastAsiaTheme="minorEastAsia" w:cstheme="minorBidi"/>
      <w:sz w:val="20"/>
      <w:szCs w:val="20"/>
    </w:rPr>
  </w:style>
  <w:style w:type="paragraph" w:customStyle="1" w:styleId="10">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2858</Words>
  <Characters>2982</Characters>
  <Lines>0</Lines>
  <Paragraphs>0</Paragraphs>
  <TotalTime>22</TotalTime>
  <ScaleCrop>false</ScaleCrop>
  <LinksUpToDate>false</LinksUpToDate>
  <CharactersWithSpaces>3087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2024-05-06T08:36:00Z</dcterms:created>
  <dc:creator>小希望</dc:creator>
  <cp:lastModifiedBy>Autumn</cp:lastModifiedBy>
  <dcterms:modified xsi:type="dcterms:W3CDTF">2024-10-22T02:29:40Z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D34483C8E5B249C4BB9A5B913B2EA880_11</vt:lpwstr>
  </property>
</Properties>
</file>