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3321B9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中国发明协会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发明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创业奖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创新奖提名书</w:t>
      </w:r>
    </w:p>
    <w:p w14:paraId="6D89B591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b/>
          <w:bCs/>
          <w:sz w:val="32"/>
          <w:szCs w:val="32"/>
        </w:rPr>
        <w:t>（2025）年度</w:t>
      </w:r>
    </w:p>
    <w:p w14:paraId="2D7B0724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一、项目基本情况</w:t>
      </w:r>
    </w:p>
    <w:tbl>
      <w:tblPr>
        <w:tblStyle w:val="8"/>
        <w:tblW w:w="919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73"/>
        <w:gridCol w:w="1789"/>
        <w:gridCol w:w="3082"/>
        <w:gridCol w:w="2854"/>
      </w:tblGrid>
      <w:tr w14:paraId="1BC0E7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9" w:hRule="atLeast"/>
          <w:jc w:val="center"/>
        </w:trPr>
        <w:tc>
          <w:tcPr>
            <w:tcW w:w="147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9714B21">
            <w:pPr>
              <w:pStyle w:val="7"/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提名者</w:t>
            </w:r>
          </w:p>
        </w:tc>
        <w:tc>
          <w:tcPr>
            <w:tcW w:w="77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12AFB1">
            <w:pPr>
              <w:pStyle w:val="7"/>
              <w:keepNext w:val="0"/>
              <w:keepLines w:val="0"/>
              <w:widowControl/>
              <w:suppressLineNumbers w:val="0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cstheme="minorEastAsia"/>
                <w:sz w:val="24"/>
                <w:szCs w:val="24"/>
                <w:lang w:val="en-US" w:eastAsia="zh-CN"/>
              </w:rPr>
              <w:t>石家庄学院</w:t>
            </w:r>
          </w:p>
        </w:tc>
      </w:tr>
      <w:tr w14:paraId="5D5A852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18" w:hRule="atLeast"/>
          <w:jc w:val="center"/>
        </w:trPr>
        <w:tc>
          <w:tcPr>
            <w:tcW w:w="147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577DAA5">
            <w:pPr>
              <w:pStyle w:val="7"/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项目名称</w:t>
            </w:r>
          </w:p>
        </w:tc>
        <w:tc>
          <w:tcPr>
            <w:tcW w:w="77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8D8FA94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基于区块链的农业全产业链智慧管控体系创新</w:t>
            </w:r>
          </w:p>
        </w:tc>
      </w:tr>
      <w:tr w14:paraId="65228FF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47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48819BB">
            <w:pPr>
              <w:pStyle w:val="7"/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完成人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（完成单位）</w:t>
            </w:r>
          </w:p>
        </w:tc>
        <w:tc>
          <w:tcPr>
            <w:tcW w:w="77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57D595A2">
            <w:pPr>
              <w:jc w:val="both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cstheme="minorEastAsia"/>
                <w:sz w:val="24"/>
                <w:szCs w:val="24"/>
                <w:lang w:val="en-US" w:eastAsia="zh-CN"/>
              </w:rPr>
              <w:t>刘智国；宋宇斐；李世武；刘畅；孟惜；何东彬</w:t>
            </w:r>
          </w:p>
        </w:tc>
      </w:tr>
      <w:tr w14:paraId="3968D9B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47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69BEF4F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77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F8286C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cstheme="minorEastAsia"/>
                <w:sz w:val="24"/>
                <w:szCs w:val="24"/>
                <w:lang w:val="en-US" w:eastAsia="zh-CN"/>
              </w:rPr>
              <w:t>石家庄学院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 </w:t>
            </w:r>
          </w:p>
        </w:tc>
      </w:tr>
      <w:tr w14:paraId="1D4464D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473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413DA96">
            <w:pPr>
              <w:pStyle w:val="7"/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学科</w:t>
            </w:r>
          </w:p>
        </w:tc>
        <w:tc>
          <w:tcPr>
            <w:tcW w:w="178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5F799F7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农林养殖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  <w:tc>
          <w:tcPr>
            <w:tcW w:w="308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759F2E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医药卫生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  <w:tc>
          <w:tcPr>
            <w:tcW w:w="28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373924B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国土资源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</w:tr>
      <w:tr w14:paraId="577040E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473" w:type="dxa"/>
            <w:vMerge w:val="continue"/>
            <w:tcBorders>
              <w:left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F4E117">
            <w:pPr>
              <w:pStyle w:val="7"/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78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6B6E370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环境水利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  <w:tc>
          <w:tcPr>
            <w:tcW w:w="308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71FC0C1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轻工纺织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  <w:tc>
          <w:tcPr>
            <w:tcW w:w="28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482D675F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化工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</w:tr>
      <w:tr w14:paraId="222BF4A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47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DF9A11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78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CA59AD4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t>材料冶金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  <w:tc>
          <w:tcPr>
            <w:tcW w:w="3082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FDED674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机械与动力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  <w:tc>
          <w:tcPr>
            <w:tcW w:w="28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07A9F81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电子信息组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FE"/>
            </w:r>
          </w:p>
        </w:tc>
      </w:tr>
      <w:tr w14:paraId="16896F3E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5" w:hRule="atLeast"/>
          <w:jc w:val="center"/>
        </w:trPr>
        <w:tc>
          <w:tcPr>
            <w:tcW w:w="147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1178976D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1789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0831488C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民营企业</w:t>
            </w: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  <w:sym w:font="Wingdings" w:char="00A8"/>
            </w:r>
          </w:p>
        </w:tc>
        <w:tc>
          <w:tcPr>
            <w:tcW w:w="3082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434352F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2854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312BC220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</w:tr>
      <w:tr w14:paraId="5D478FE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5" w:hRule="atLeast"/>
          <w:jc w:val="center"/>
        </w:trPr>
        <w:tc>
          <w:tcPr>
            <w:tcW w:w="1473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6305B590">
            <w:pPr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</w:p>
        </w:tc>
        <w:tc>
          <w:tcPr>
            <w:tcW w:w="77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2E78F097">
            <w:pPr>
              <w:pStyle w:val="7"/>
              <w:keepNext w:val="0"/>
              <w:keepLines w:val="0"/>
              <w:widowControl/>
              <w:suppressLineNumbers w:val="0"/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 xml:space="preserve">填写说明：请在所属学科后面打√ </w:t>
            </w:r>
          </w:p>
        </w:tc>
      </w:tr>
      <w:tr w14:paraId="3529874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658" w:hRule="atLeast"/>
          <w:jc w:val="center"/>
        </w:trPr>
        <w:tc>
          <w:tcPr>
            <w:tcW w:w="1473" w:type="dxa"/>
            <w:tcBorders>
              <w:top w:val="single" w:color="auto" w:sz="8" w:space="0"/>
              <w:left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 w14:paraId="73F5F2E3">
            <w:pPr>
              <w:pStyle w:val="7"/>
              <w:keepNext w:val="0"/>
              <w:keepLines w:val="0"/>
              <w:widowControl/>
              <w:suppressLineNumbers w:val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</w:rPr>
              <w:t>提名意见</w:t>
            </w:r>
          </w:p>
        </w:tc>
        <w:tc>
          <w:tcPr>
            <w:tcW w:w="7725" w:type="dxa"/>
            <w:gridSpan w:val="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top"/>
          </w:tcPr>
          <w:p w14:paraId="29A5F95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textAlignment w:val="auto"/>
              <w:rPr>
                <w:rFonts w:hint="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cstheme="minorEastAsia"/>
                <w:sz w:val="24"/>
                <w:szCs w:val="24"/>
                <w:lang w:eastAsia="zh-CN"/>
              </w:rPr>
              <w:t>一等或二等</w:t>
            </w:r>
          </w:p>
          <w:p w14:paraId="0911ED6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textAlignment w:val="auto"/>
              <w:rPr>
                <w:rFonts w:hint="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cstheme="minorEastAsia"/>
                <w:sz w:val="24"/>
                <w:szCs w:val="24"/>
                <w:lang w:eastAsia="zh-CN"/>
              </w:rPr>
              <w:t>我单位审阅确认该项目提名材料真实有效。项目依托河北省科技厅及怀来县科技局等项目，聚焦农业全产业链智慧管控难题，融合区块链技术与农业场景，形成系列创新成果。</w:t>
            </w:r>
          </w:p>
          <w:p w14:paraId="1F70569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textAlignment w:val="auto"/>
              <w:rPr>
                <w:rFonts w:hint="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cstheme="minorEastAsia"/>
                <w:sz w:val="24"/>
                <w:szCs w:val="24"/>
                <w:lang w:eastAsia="zh-CN"/>
              </w:rPr>
              <w:t>项目构建“区块链+农业设备管理+生产追溯”管控模式，在农机管理领域，研发基于区块链的管理监管系统，集成双轴差速精播技术与北斗定位，实现播种轨迹智能捕获、数据自动控制，推动农机智能化升级，提升播种精准度与作业效率。农产品追溯领域，搭建“云侧+端侧”生鲜葡萄追溯平台，利用区块链去中心化特性，采集生长、生态、物流全周期数据，形成不可篡改的数字资产库，并对接第三方销售平台，破解信息孤岛问题，提升产品可信度与市场流通效率。</w:t>
            </w:r>
          </w:p>
          <w:p w14:paraId="12280BF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textAlignment w:val="auto"/>
              <w:rPr>
                <w:rFonts w:hint="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cstheme="minorEastAsia"/>
                <w:sz w:val="24"/>
                <w:szCs w:val="24"/>
                <w:lang w:eastAsia="zh-CN"/>
              </w:rPr>
              <w:t>项目揭示区块链在农业数据存证、溯源防伪中的作用机制，研发区块链设备检验报告防伪方法及智能网关，实现农业数据实时采集与安全传输。其中葡萄追溯平台完成百亩以上示范园区数据采集，对接第三方平台后实现葡萄销售超 5000 斤，直接提升合作社经济效益。</w:t>
            </w:r>
          </w:p>
          <w:p w14:paraId="49714A5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ind w:firstLine="480" w:firstLineChars="200"/>
              <w:textAlignment w:val="auto"/>
              <w:rPr>
                <w:rFonts w:hint="eastAsia" w:cstheme="minorEastAsia"/>
                <w:sz w:val="24"/>
                <w:szCs w:val="24"/>
                <w:lang w:eastAsia="zh-CN"/>
              </w:rPr>
            </w:pPr>
            <w:r>
              <w:rPr>
                <w:rFonts w:hint="eastAsia" w:cstheme="minorEastAsia"/>
                <w:sz w:val="24"/>
                <w:szCs w:val="24"/>
                <w:lang w:eastAsia="zh-CN"/>
              </w:rPr>
              <w:t>项目成果在国家和省级农业科技园区示范应用，推动农业生产数字化、管理智能化。农机领域实现播种机数字化提升，助力智慧农机发展；葡萄产业塑造区域品牌，构建土壤修复数据模型，促进数字经济与旅游经济融合。整体技术达国内先进水平，区块链在农业全产业链的创新应用居领先地位，提升农业现代化水平。据此，提名该项目为</w:t>
            </w:r>
            <w:r>
              <w:rPr>
                <w:rFonts w:hint="eastAsia" w:cstheme="minorEastAsia"/>
                <w:sz w:val="24"/>
                <w:szCs w:val="24"/>
                <w:lang w:val="en-US" w:eastAsia="zh-CN"/>
              </w:rPr>
              <w:t>2025年度</w:t>
            </w:r>
            <w:r>
              <w:rPr>
                <w:rFonts w:hint="eastAsia" w:cstheme="minorEastAsia"/>
                <w:sz w:val="24"/>
                <w:szCs w:val="24"/>
                <w:lang w:eastAsia="zh-CN"/>
              </w:rPr>
              <w:t>中国发明协会发明创业奖创新奖一等或二等。</w:t>
            </w:r>
          </w:p>
        </w:tc>
      </w:tr>
    </w:tbl>
    <w:p w14:paraId="0ECB5F63">
      <w:pP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</w:p>
    <w:p w14:paraId="31531121">
      <w:p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  <w:t>项目简介：</w:t>
      </w:r>
    </w:p>
    <w:p w14:paraId="2CDD817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本项目由怀来县夹河葡萄专业合作社、河北绿谷信息科技有限公司、石家庄学院、河北农业大学等单位合作完成，依托河北省科技厅项目 “基于区块链及双轴差速精播器的智慧农机管理平台的转化应用” 及怀来县科技局项目 “基于物联网和区块链技术的生鲜葡萄追溯平台研制”，聚焦农业全产业链智慧管控中传统农业信息化滞后、数据可信度不足、农机作业效率低、农产品追溯信息孤岛等核心难题，融合区块链技术与农业场景，构建全产业链智慧管控体系，推动农业生产数字化、管理智能化发展。</w:t>
      </w:r>
    </w:p>
    <w:p w14:paraId="0620B425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核心技术与创新突破</w:t>
      </w:r>
    </w:p>
    <w:p w14:paraId="5D86AC5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1.“区块链+农机管理”智能化管控技术</w:t>
      </w:r>
    </w:p>
    <w:p w14:paraId="51232DFF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研发基于区块链的农机设备管理与作业监管系统，集成双轴差速精播器技术与北斗高精度定位模块。双轴差速精播器通过优化播种传动结构，实现单粒精密播种；北斗高精度定位系统实时捕获播种轨迹，结合区块链不可篡改特性，建立农机作业数据链，实现播种数据自动采集、传输与控制。开发“云侧+端侧”农机作业管理平台，集成设备档案管理、作业监控、故障预警等功能，解决传统农机管理数据滞后、责任追溯难等问题。</w:t>
      </w:r>
    </w:p>
    <w:p w14:paraId="208C936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2.“区块链+农产品追溯”全周期可信体系</w:t>
      </w:r>
    </w:p>
    <w:p w14:paraId="04AFA32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搭建“云侧+端侧”生鲜葡萄追溯平台，利用区块链去中心化特性，采集葡萄生长、生态、物流（全周期数据，形成不可篡改的数字资产库。研发智能网关设备，实现传感器数据与区块链节点的实时对接。创新设计“区块链+第三方平台”数据接口，快速对接电商、社交平台，消费者扫码即可查看产品全流程追溯信息，破解产业链信息孤岛，产品可信度提升，市场流通效率提高。</w:t>
      </w:r>
    </w:p>
    <w:p w14:paraId="4B418C71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3.区块链在农业数据存证与土壤修复中的创新应用</w:t>
      </w:r>
    </w:p>
    <w:p w14:paraId="347A3B52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揭示区块链在农业数据存证、溯源防伪中的作用机制，研发区块链设备检验报告防伪方法，通过哈希值加密与智能合约技术，实现农机设备检验报告、农产品质检报告的可信存证与快速验证。构建土壤修复数据模型，利用区块链实时采集土壤改良过程中的理化性质、气象数据、改良措施等信息，形成可追溯的土壤修复方案库，为葡萄种植区土壤综合治理提供数据支撑。</w:t>
      </w:r>
    </w:p>
    <w:p w14:paraId="742E87F0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 w:cstheme="minorEastAsia"/>
          <w:sz w:val="24"/>
          <w:szCs w:val="24"/>
          <w:lang w:val="en-US" w:eastAsia="zh-CN"/>
        </w:rPr>
      </w:pPr>
      <w:r>
        <w:rPr>
          <w:rFonts w:hint="eastAsia" w:cstheme="minorEastAsia"/>
          <w:sz w:val="24"/>
          <w:szCs w:val="24"/>
          <w:lang w:val="en-US" w:eastAsia="zh-CN"/>
        </w:rPr>
        <w:t>项目成果农机管理领域在国家和省级农业科技园区示范应用。农产品追溯领域，葡萄追溯平台预计完成100 亩以上示范园区数据采集，对接第三方平台后预计实现葡萄销售超5000斤，区域品牌知名度显著提高。项目整体技术达国内先进水平，其中区块链在农业全产业链的创新应用居国内领先地位。为我国农业现代化提供了“区块链+全产业链”的创新范式。项目构建了“技术创新-示范应用-产业升级”的全链条体系，推动农业生产从“经验驱动”向“数据驱动”转型，社会效益显著。特此提名该项目为 2025 年度中国发明协会发明创业奖创新奖一等或二等。</w:t>
      </w:r>
    </w:p>
    <w:p w14:paraId="36BA8F34">
      <w:pPr>
        <w:rPr>
          <w:rFonts w:hint="eastAsia" w:ascii="仿宋" w:hAnsi="仿宋" w:eastAsia="仿宋" w:cs="仿宋"/>
          <w:b/>
          <w:bCs/>
          <w:sz w:val="32"/>
          <w:szCs w:val="32"/>
          <w:lang w:val="en-US" w:eastAsia="zh-CN"/>
        </w:rPr>
      </w:pPr>
    </w:p>
    <w:p w14:paraId="2FEC7211">
      <w:pPr>
        <w:rPr>
          <w:rFonts w:hint="default" w:asciiTheme="minorEastAsia" w:hAnsiTheme="minorEastAsia" w:eastAsiaTheme="minorEastAsia" w:cstheme="minorEastAsia"/>
          <w:kern w:val="0"/>
          <w:sz w:val="24"/>
          <w:szCs w:val="24"/>
          <w:lang w:val="en-US" w:eastAsia="zh-CN" w:bidi="ar"/>
        </w:rPr>
      </w:pPr>
    </w:p>
    <w:p w14:paraId="371B23FC">
      <w:pP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br w:type="page"/>
      </w:r>
    </w:p>
    <w:p w14:paraId="26DBB2BD">
      <w:pPr>
        <w:pStyle w:val="7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二、发明创新情况</w:t>
      </w:r>
    </w:p>
    <w:p w14:paraId="1FB0741A">
      <w:pPr>
        <w:spacing w:before="307" w:line="360" w:lineRule="auto"/>
        <w:ind w:left="517"/>
        <w:outlineLvl w:val="4"/>
        <w:rPr>
          <w:rFonts w:hint="eastAsia" w:ascii="仿宋" w:hAnsi="仿宋" w:eastAsia="仿宋" w:cs="仿宋"/>
          <w:b w:val="0"/>
          <w:bCs w:val="0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b w:val="0"/>
          <w:bCs w:val="0"/>
          <w:spacing w:val="-4"/>
          <w:sz w:val="24"/>
          <w:szCs w:val="24"/>
        </w:rPr>
        <w:t>（一）知识产权情况</w:t>
      </w:r>
    </w:p>
    <w:tbl>
      <w:tblPr>
        <w:tblStyle w:val="9"/>
        <w:tblW w:w="85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4"/>
        <w:gridCol w:w="2955"/>
        <w:gridCol w:w="1825"/>
        <w:gridCol w:w="1475"/>
        <w:gridCol w:w="1485"/>
      </w:tblGrid>
      <w:tr w14:paraId="30C6B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8534" w:type="dxa"/>
            <w:gridSpan w:val="5"/>
            <w:vAlign w:val="center"/>
          </w:tcPr>
          <w:p w14:paraId="48B2695C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b w:val="0"/>
                <w:bCs w:val="0"/>
                <w:spacing w:val="-4"/>
                <w:sz w:val="24"/>
                <w:szCs w:val="24"/>
              </w:rPr>
              <w:t>论文情况</w:t>
            </w:r>
          </w:p>
        </w:tc>
      </w:tr>
      <w:tr w14:paraId="4E61F9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63CBD080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955" w:type="dxa"/>
            <w:vAlign w:val="center"/>
          </w:tcPr>
          <w:p w14:paraId="6920D28E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论文名称</w:t>
            </w:r>
          </w:p>
        </w:tc>
        <w:tc>
          <w:tcPr>
            <w:tcW w:w="1825" w:type="dxa"/>
            <w:vAlign w:val="center"/>
          </w:tcPr>
          <w:p w14:paraId="5B690D29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刊名</w:t>
            </w:r>
          </w:p>
        </w:tc>
        <w:tc>
          <w:tcPr>
            <w:tcW w:w="1475" w:type="dxa"/>
            <w:vAlign w:val="center"/>
          </w:tcPr>
          <w:p w14:paraId="3C79D648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作者</w:t>
            </w:r>
          </w:p>
        </w:tc>
        <w:tc>
          <w:tcPr>
            <w:tcW w:w="1485" w:type="dxa"/>
            <w:vAlign w:val="center"/>
          </w:tcPr>
          <w:p w14:paraId="7D575EC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影响因子</w:t>
            </w:r>
          </w:p>
        </w:tc>
      </w:tr>
      <w:tr w14:paraId="198E32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2AD07B1A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 w:colFirst="1" w:colLast="4"/>
          </w:p>
        </w:tc>
        <w:tc>
          <w:tcPr>
            <w:tcW w:w="2955" w:type="dxa"/>
            <w:vAlign w:val="center"/>
          </w:tcPr>
          <w:p w14:paraId="4F525D1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Analysis on Chlorophyll Diagnosis of Wheat Leaves Based on Digital Image Processing and Feature Selection</w:t>
            </w:r>
          </w:p>
        </w:tc>
        <w:tc>
          <w:tcPr>
            <w:tcW w:w="1825" w:type="dxa"/>
            <w:vAlign w:val="center"/>
          </w:tcPr>
          <w:p w14:paraId="1613047D">
            <w:pPr>
              <w:pStyle w:val="5"/>
              <w:keepNext w:val="0"/>
              <w:keepLines w:val="0"/>
              <w:pageBreakBefore w:val="0"/>
              <w:widowControl w:val="0"/>
              <w:tabs>
                <w:tab w:val="clear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firstLine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Traitement du Signal</w:t>
            </w:r>
          </w:p>
        </w:tc>
        <w:tc>
          <w:tcPr>
            <w:tcW w:w="1475" w:type="dxa"/>
            <w:vAlign w:val="center"/>
          </w:tcPr>
          <w:p w14:paraId="18E626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刘智国</w:t>
            </w:r>
          </w:p>
        </w:tc>
        <w:tc>
          <w:tcPr>
            <w:tcW w:w="1485" w:type="dxa"/>
            <w:vAlign w:val="center"/>
          </w:tcPr>
          <w:p w14:paraId="5B9FEA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1.2</w:t>
            </w:r>
          </w:p>
        </w:tc>
      </w:tr>
      <w:tr w14:paraId="084B0E2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67F9A541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shd w:val="clear"/>
            <w:vAlign w:val="center"/>
          </w:tcPr>
          <w:p w14:paraId="490C0F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An Integrative Approach for Mineral Nutrient Quantification in Dioscorea Leaves: Uniting Image Processing and Machine Learning</w:t>
            </w:r>
          </w:p>
        </w:tc>
        <w:tc>
          <w:tcPr>
            <w:tcW w:w="1825" w:type="dxa"/>
            <w:shd w:val="clear"/>
            <w:vAlign w:val="center"/>
          </w:tcPr>
          <w:p w14:paraId="36D09F13">
            <w:pPr>
              <w:pStyle w:val="5"/>
              <w:keepNext w:val="0"/>
              <w:keepLines w:val="0"/>
              <w:pageBreakBefore w:val="0"/>
              <w:widowControl w:val="0"/>
              <w:tabs>
                <w:tab w:val="clear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TRAITEMENT DU SIGNAL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14F36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宋宇斐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6C2630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1.2</w:t>
            </w:r>
          </w:p>
        </w:tc>
      </w:tr>
      <w:tr w14:paraId="7E2E67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78D4AD05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shd w:val="clear" w:color="auto" w:fill="auto"/>
            <w:vAlign w:val="center"/>
          </w:tcPr>
          <w:p w14:paraId="57E2D3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Multi-organ Jujube Classification Based on a Visual Attention Mechanism</w:t>
            </w:r>
          </w:p>
        </w:tc>
        <w:tc>
          <w:tcPr>
            <w:tcW w:w="1825" w:type="dxa"/>
            <w:shd w:val="clear" w:color="auto" w:fill="auto"/>
            <w:vAlign w:val="center"/>
          </w:tcPr>
          <w:p w14:paraId="26E2EF5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APPLIED FRUIT SCIENCE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3982F5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孟惜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4DC79A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1.3</w:t>
            </w:r>
          </w:p>
        </w:tc>
      </w:tr>
      <w:tr w14:paraId="7E56F2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6029241B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shd w:val="clear" w:color="auto" w:fill="auto"/>
            <w:vAlign w:val="center"/>
          </w:tcPr>
          <w:p w14:paraId="05FD76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Using Mathematical Models to Identify the Chlorophyll Status of Wheat from Ordinary Digital Camera Images in the Field</w:t>
            </w:r>
          </w:p>
        </w:tc>
        <w:tc>
          <w:tcPr>
            <w:tcW w:w="1825" w:type="dxa"/>
            <w:shd w:val="clear" w:color="auto" w:fill="auto"/>
            <w:vAlign w:val="center"/>
          </w:tcPr>
          <w:p w14:paraId="682B6E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COMMUNICATIONS IN SOIL SCIENCE AND PLANT ANALYSIS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15CF5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auto"/>
                <w:sz w:val="24"/>
                <w:szCs w:val="24"/>
                <w:vertAlign w:val="baseline"/>
                <w:lang w:val="en-US" w:eastAsia="zh-CN"/>
              </w:rPr>
              <w:t>孟惜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0995F9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仿宋_GB2312" w:cs="宋体"/>
                <w:b w:val="0"/>
                <w:bCs/>
                <w:color w:val="auto"/>
                <w:kern w:val="0"/>
                <w:sz w:val="24"/>
                <w:szCs w:val="24"/>
                <w:vertAlign w:val="baseline"/>
                <w:lang w:val="en-US" w:eastAsia="zh-CN" w:bidi="ar"/>
              </w:rPr>
            </w:pPr>
            <w:r>
              <w:rPr>
                <w:rFonts w:hint="eastAsia" w:ascii="仿宋_GB2312" w:eastAsia="仿宋_GB2312"/>
                <w:color w:val="auto"/>
                <w:sz w:val="21"/>
                <w:szCs w:val="21"/>
              </w:rPr>
              <w:t>1.</w:t>
            </w:r>
            <w:r>
              <w:rPr>
                <w:rFonts w:hint="eastAsia" w:ascii="仿宋_GB2312" w:eastAsia="仿宋_GB2312"/>
                <w:color w:val="auto"/>
                <w:sz w:val="21"/>
                <w:szCs w:val="21"/>
                <w:lang w:val="en-US" w:eastAsia="zh-CN"/>
              </w:rPr>
              <w:t>9</w:t>
            </w:r>
          </w:p>
        </w:tc>
      </w:tr>
      <w:bookmarkEnd w:id="0"/>
      <w:tr w14:paraId="62166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0A0B34EA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shd w:val="clear" w:color="auto" w:fill="auto"/>
            <w:vAlign w:val="center"/>
          </w:tcPr>
          <w:p w14:paraId="693671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基于信息熵特征选择的小麦冠层叶绿素含量估测方法</w:t>
            </w:r>
          </w:p>
        </w:tc>
        <w:tc>
          <w:tcPr>
            <w:tcW w:w="1825" w:type="dxa"/>
            <w:shd w:val="clear" w:color="auto" w:fill="auto"/>
            <w:vAlign w:val="center"/>
          </w:tcPr>
          <w:p w14:paraId="25BE8FCA">
            <w:pPr>
              <w:pStyle w:val="5"/>
              <w:keepNext w:val="0"/>
              <w:keepLines w:val="0"/>
              <w:pageBreakBefore w:val="0"/>
              <w:widowControl w:val="0"/>
              <w:tabs>
                <w:tab w:val="clear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农业机械学报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02B8434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宋宇斐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61B806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2.21</w:t>
            </w:r>
          </w:p>
        </w:tc>
      </w:tr>
      <w:tr w14:paraId="6F6FAA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5ABAE8A6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shd w:val="clear"/>
            <w:vAlign w:val="center"/>
          </w:tcPr>
          <w:p w14:paraId="52D0B7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基于LSTM-TE模型的冬枣可溶性固形物含量高光谱估测</w:t>
            </w:r>
          </w:p>
        </w:tc>
        <w:tc>
          <w:tcPr>
            <w:tcW w:w="1825" w:type="dxa"/>
            <w:shd w:val="clear"/>
            <w:vAlign w:val="center"/>
          </w:tcPr>
          <w:p w14:paraId="6C0EFC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光谱学与光谱分析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40000A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宋宇斐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5DA794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仿宋_GB2312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1.08</w:t>
            </w:r>
          </w:p>
        </w:tc>
      </w:tr>
      <w:tr w14:paraId="37AD00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5745014C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vAlign w:val="center"/>
          </w:tcPr>
          <w:p w14:paraId="528C2B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Non-destructive Determination of the Soluble Solid Content in Winter Jujubes Using Hyperspectral Technology and the SCARS-PLSR Prediction Model</w:t>
            </w:r>
          </w:p>
        </w:tc>
        <w:tc>
          <w:tcPr>
            <w:tcW w:w="1825" w:type="dxa"/>
            <w:vAlign w:val="center"/>
          </w:tcPr>
          <w:p w14:paraId="1C9F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IAENG International Journal of Computer Science</w:t>
            </w:r>
          </w:p>
        </w:tc>
        <w:tc>
          <w:tcPr>
            <w:tcW w:w="1475" w:type="dxa"/>
            <w:shd w:val="clear" w:color="auto" w:fill="auto"/>
            <w:vAlign w:val="center"/>
          </w:tcPr>
          <w:p w14:paraId="7BAACD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宋宇斐</w:t>
            </w:r>
          </w:p>
        </w:tc>
        <w:tc>
          <w:tcPr>
            <w:tcW w:w="1485" w:type="dxa"/>
            <w:shd w:val="clear" w:color="auto" w:fill="auto"/>
            <w:vAlign w:val="center"/>
          </w:tcPr>
          <w:p w14:paraId="55ACBF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仿宋_GB2312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仿宋_GB2312" w:cs="宋体"/>
                <w:b w:val="0"/>
                <w:bCs/>
                <w:color w:val="000000" w:themeColor="text1"/>
                <w:kern w:val="0"/>
                <w:sz w:val="24"/>
                <w:szCs w:val="24"/>
                <w:vertAlign w:val="baseli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1</w:t>
            </w:r>
          </w:p>
        </w:tc>
      </w:tr>
      <w:tr w14:paraId="7F6B82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41C5D3AE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vAlign w:val="center"/>
          </w:tcPr>
          <w:p w14:paraId="7317A0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25" w:type="dxa"/>
            <w:vAlign w:val="center"/>
          </w:tcPr>
          <w:p w14:paraId="1CBB90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5" w:type="dxa"/>
            <w:vAlign w:val="center"/>
          </w:tcPr>
          <w:p w14:paraId="60D2B3D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5" w:type="dxa"/>
            <w:vAlign w:val="center"/>
          </w:tcPr>
          <w:p w14:paraId="162FF5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5CE79A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20D5173C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vAlign w:val="center"/>
          </w:tcPr>
          <w:p w14:paraId="7F0C15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25" w:type="dxa"/>
            <w:vAlign w:val="center"/>
          </w:tcPr>
          <w:p w14:paraId="633D042A">
            <w:pPr>
              <w:pStyle w:val="5"/>
              <w:keepNext w:val="0"/>
              <w:keepLines w:val="0"/>
              <w:pageBreakBefore w:val="0"/>
              <w:widowControl w:val="0"/>
              <w:tabs>
                <w:tab w:val="clear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5" w:type="dxa"/>
            <w:vAlign w:val="center"/>
          </w:tcPr>
          <w:p w14:paraId="68190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5" w:type="dxa"/>
            <w:vAlign w:val="center"/>
          </w:tcPr>
          <w:p w14:paraId="107F22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4B7355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794" w:type="dxa"/>
            <w:vAlign w:val="center"/>
          </w:tcPr>
          <w:p w14:paraId="0E3E807B">
            <w:pPr>
              <w:widowControl w:val="0"/>
              <w:numPr>
                <w:ilvl w:val="0"/>
                <w:numId w:val="1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955" w:type="dxa"/>
            <w:vAlign w:val="center"/>
          </w:tcPr>
          <w:p w14:paraId="3E3900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825" w:type="dxa"/>
            <w:vAlign w:val="center"/>
          </w:tcPr>
          <w:p w14:paraId="7674E339">
            <w:pPr>
              <w:pStyle w:val="5"/>
              <w:keepNext w:val="0"/>
              <w:keepLines w:val="0"/>
              <w:pageBreakBefore w:val="0"/>
              <w:widowControl w:val="0"/>
              <w:tabs>
                <w:tab w:val="clear" w:pos="1260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auto"/>
              <w:ind w:left="0" w:leftChars="0" w:firstLine="0" w:firstLineChars="0"/>
              <w:jc w:val="center"/>
              <w:textAlignment w:val="auto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75" w:type="dxa"/>
            <w:vAlign w:val="center"/>
          </w:tcPr>
          <w:p w14:paraId="63FE0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85" w:type="dxa"/>
            <w:vAlign w:val="center"/>
          </w:tcPr>
          <w:p w14:paraId="3A31BBC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5E9205EC">
      <w:pPr>
        <w:pStyle w:val="7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 w:val="0"/>
        <w:ind w:right="0" w:rightChars="0"/>
        <w:jc w:val="both"/>
        <w:textAlignment w:val="auto"/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</w:pPr>
    </w:p>
    <w:tbl>
      <w:tblPr>
        <w:tblStyle w:val="9"/>
        <w:tblW w:w="85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85"/>
        <w:gridCol w:w="2190"/>
        <w:gridCol w:w="2151"/>
        <w:gridCol w:w="1691"/>
        <w:gridCol w:w="1460"/>
      </w:tblGrid>
      <w:tr w14:paraId="00024D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8577" w:type="dxa"/>
            <w:gridSpan w:val="5"/>
            <w:vAlign w:val="center"/>
          </w:tcPr>
          <w:p w14:paraId="58F04747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专利情况</w:t>
            </w:r>
          </w:p>
        </w:tc>
      </w:tr>
      <w:tr w14:paraId="3149AE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4B143D32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190" w:type="dxa"/>
            <w:vAlign w:val="center"/>
          </w:tcPr>
          <w:p w14:paraId="1B5B8EB5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专利名称</w:t>
            </w:r>
          </w:p>
        </w:tc>
        <w:tc>
          <w:tcPr>
            <w:tcW w:w="2151" w:type="dxa"/>
            <w:vAlign w:val="center"/>
          </w:tcPr>
          <w:p w14:paraId="53FA1A63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专利号</w:t>
            </w:r>
          </w:p>
        </w:tc>
        <w:tc>
          <w:tcPr>
            <w:tcW w:w="1691" w:type="dxa"/>
            <w:vAlign w:val="center"/>
          </w:tcPr>
          <w:p w14:paraId="1B23FF9D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附件编号</w:t>
            </w:r>
          </w:p>
        </w:tc>
        <w:tc>
          <w:tcPr>
            <w:tcW w:w="1460" w:type="dxa"/>
            <w:vAlign w:val="center"/>
          </w:tcPr>
          <w:p w14:paraId="5D3A159F">
            <w:pPr>
              <w:widowControl w:val="0"/>
              <w:numPr>
                <w:ilvl w:val="0"/>
                <w:numId w:val="0"/>
              </w:numPr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  <w:t>法律状况</w:t>
            </w:r>
          </w:p>
        </w:tc>
      </w:tr>
      <w:tr w14:paraId="5EED6B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16BFF75A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26776A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iCs/>
                <w:color w:val="auto"/>
                <w:sz w:val="22"/>
                <w:szCs w:val="22"/>
              </w:rPr>
              <w:t>一种基于区块链的生态环境监管方法及系统</w:t>
            </w:r>
          </w:p>
        </w:tc>
        <w:tc>
          <w:tcPr>
            <w:tcW w:w="2151" w:type="dxa"/>
            <w:vAlign w:val="center"/>
          </w:tcPr>
          <w:p w14:paraId="51D4824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  <w:t>ZL202111398215.X</w:t>
            </w:r>
          </w:p>
        </w:tc>
        <w:tc>
          <w:tcPr>
            <w:tcW w:w="1691" w:type="dxa"/>
            <w:vAlign w:val="center"/>
          </w:tcPr>
          <w:p w14:paraId="359637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1</w:t>
            </w:r>
          </w:p>
        </w:tc>
        <w:tc>
          <w:tcPr>
            <w:tcW w:w="1460" w:type="dxa"/>
            <w:vAlign w:val="center"/>
          </w:tcPr>
          <w:p w14:paraId="2701FCE7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  <w:sz w:val="24"/>
                <w:szCs w:val="24"/>
              </w:rPr>
              <w:t>授权</w:t>
            </w:r>
          </w:p>
        </w:tc>
      </w:tr>
      <w:tr w14:paraId="7EBF52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5483905D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6B3A43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iCs/>
                <w:color w:val="auto"/>
                <w:sz w:val="22"/>
                <w:szCs w:val="22"/>
              </w:rPr>
              <w:t>一种基于区块链的物流搬运调节方法、系统及存储介质</w:t>
            </w:r>
          </w:p>
        </w:tc>
        <w:tc>
          <w:tcPr>
            <w:tcW w:w="2151" w:type="dxa"/>
            <w:vAlign w:val="center"/>
          </w:tcPr>
          <w:p w14:paraId="0A4E14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  <w:t>ZL202111575403.5</w:t>
            </w:r>
          </w:p>
        </w:tc>
        <w:tc>
          <w:tcPr>
            <w:tcW w:w="1691" w:type="dxa"/>
            <w:vAlign w:val="center"/>
          </w:tcPr>
          <w:p w14:paraId="10285B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W w:w="1460" w:type="dxa"/>
            <w:vAlign w:val="center"/>
          </w:tcPr>
          <w:p w14:paraId="486F8C82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  <w:sz w:val="24"/>
                <w:szCs w:val="24"/>
              </w:rPr>
              <w:t>授权</w:t>
            </w:r>
          </w:p>
        </w:tc>
      </w:tr>
      <w:tr w14:paraId="4E51A5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51B00A50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6D0B52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ascii="仿宋" w:hAnsi="仿宋" w:eastAsia="仿宋"/>
                <w:iCs/>
                <w:color w:val="auto"/>
                <w:sz w:val="22"/>
                <w:szCs w:val="22"/>
              </w:rPr>
              <w:t>一种基于区块链的铁轨检测方法及系统</w:t>
            </w:r>
            <w:r>
              <w:rPr>
                <w:rFonts w:hint="eastAsia" w:ascii="仿宋" w:hAnsi="仿宋" w:eastAsia="仿宋"/>
                <w:iCs/>
                <w:color w:val="auto"/>
                <w:sz w:val="22"/>
                <w:szCs w:val="22"/>
              </w:rPr>
              <w:t xml:space="preserve"> </w:t>
            </w:r>
          </w:p>
        </w:tc>
        <w:tc>
          <w:tcPr>
            <w:tcW w:w="2151" w:type="dxa"/>
            <w:vAlign w:val="center"/>
          </w:tcPr>
          <w:p w14:paraId="0C38C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</w:rPr>
              <w:t>ZL202210002448.1</w:t>
            </w:r>
          </w:p>
        </w:tc>
        <w:tc>
          <w:tcPr>
            <w:tcW w:w="1691" w:type="dxa"/>
            <w:vAlign w:val="center"/>
          </w:tcPr>
          <w:p w14:paraId="6330E53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W w:w="1460" w:type="dxa"/>
            <w:vAlign w:val="center"/>
          </w:tcPr>
          <w:p w14:paraId="31052A2B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  <w:sz w:val="24"/>
                <w:szCs w:val="24"/>
              </w:rPr>
              <w:t>授权</w:t>
            </w:r>
          </w:p>
        </w:tc>
      </w:tr>
      <w:tr w14:paraId="15F1FD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4E9972CE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7257BC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auto"/>
                <w:sz w:val="24"/>
                <w:szCs w:val="24"/>
                <w:vertAlign w:val="baseline"/>
                <w:lang w:eastAsia="zh-CN"/>
              </w:rPr>
            </w:pPr>
            <w:r>
              <w:rPr>
                <w:rFonts w:hint="eastAsia" w:ascii="仿宋" w:hAnsi="仿宋" w:eastAsia="仿宋"/>
                <w:iCs/>
                <w:color w:val="auto"/>
                <w:sz w:val="22"/>
                <w:szCs w:val="22"/>
              </w:rPr>
              <w:t>一种基于区块链的设备检验报告的防伪方法</w:t>
            </w:r>
          </w:p>
        </w:tc>
        <w:tc>
          <w:tcPr>
            <w:tcW w:w="2151" w:type="dxa"/>
            <w:vAlign w:val="center"/>
          </w:tcPr>
          <w:p w14:paraId="2D996F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  <w:t>ZL202111487536.7</w:t>
            </w:r>
          </w:p>
        </w:tc>
        <w:tc>
          <w:tcPr>
            <w:tcW w:w="1691" w:type="dxa"/>
            <w:vAlign w:val="center"/>
          </w:tcPr>
          <w:p w14:paraId="78C372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 xml:space="preserve">4 </w:t>
            </w:r>
          </w:p>
        </w:tc>
        <w:tc>
          <w:tcPr>
            <w:tcW w:w="1460" w:type="dxa"/>
            <w:vAlign w:val="center"/>
          </w:tcPr>
          <w:p w14:paraId="29719792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  <w:sz w:val="24"/>
                <w:szCs w:val="24"/>
              </w:rPr>
              <w:t>授权</w:t>
            </w:r>
          </w:p>
        </w:tc>
      </w:tr>
      <w:tr w14:paraId="3266F21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6FD23A3E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3F14D37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</w:rPr>
              <w:t>一种基于区块链的云端存储资源管控方法及系统</w:t>
            </w:r>
          </w:p>
        </w:tc>
        <w:tc>
          <w:tcPr>
            <w:tcW w:w="2151" w:type="dxa"/>
            <w:vAlign w:val="center"/>
          </w:tcPr>
          <w:p w14:paraId="31D2B6A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  <w:t>ZL202311132739.3</w:t>
            </w:r>
          </w:p>
        </w:tc>
        <w:tc>
          <w:tcPr>
            <w:tcW w:w="1691" w:type="dxa"/>
            <w:vAlign w:val="center"/>
          </w:tcPr>
          <w:p w14:paraId="357B7C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5</w:t>
            </w:r>
          </w:p>
        </w:tc>
        <w:tc>
          <w:tcPr>
            <w:tcW w:w="1460" w:type="dxa"/>
            <w:vAlign w:val="center"/>
          </w:tcPr>
          <w:p w14:paraId="0DAB07C2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  <w:sz w:val="24"/>
                <w:szCs w:val="24"/>
              </w:rPr>
              <w:t>授权</w:t>
            </w:r>
          </w:p>
        </w:tc>
      </w:tr>
      <w:tr w14:paraId="0FBBD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156C2EB1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1A56B7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</w:rPr>
              <w:t>基于知识图谱的农业病虫害防治方法、装置、设备及介质</w:t>
            </w:r>
          </w:p>
        </w:tc>
        <w:tc>
          <w:tcPr>
            <w:tcW w:w="2151" w:type="dxa"/>
            <w:vAlign w:val="center"/>
          </w:tcPr>
          <w:p w14:paraId="7407C2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</w:rPr>
              <w:t xml:space="preserve">ZL202411604207.X  </w:t>
            </w:r>
          </w:p>
        </w:tc>
        <w:tc>
          <w:tcPr>
            <w:tcW w:w="1691" w:type="dxa"/>
            <w:vAlign w:val="center"/>
          </w:tcPr>
          <w:p w14:paraId="0FFE30E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6</w:t>
            </w:r>
          </w:p>
        </w:tc>
        <w:tc>
          <w:tcPr>
            <w:tcW w:w="1460" w:type="dxa"/>
            <w:vAlign w:val="center"/>
          </w:tcPr>
          <w:p w14:paraId="1451B131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  <w:sz w:val="24"/>
                <w:szCs w:val="24"/>
              </w:rPr>
              <w:t>授权</w:t>
            </w:r>
          </w:p>
        </w:tc>
      </w:tr>
      <w:tr w14:paraId="6D85D0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3E307A91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1E0A10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  <w:t>一种基于农业物联网技术的监控自适应调节方法</w:t>
            </w:r>
          </w:p>
        </w:tc>
        <w:tc>
          <w:tcPr>
            <w:tcW w:w="2151" w:type="dxa"/>
            <w:vAlign w:val="center"/>
          </w:tcPr>
          <w:p w14:paraId="333F3E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</w:rPr>
              <w:t>ZL202311785284.5</w:t>
            </w:r>
          </w:p>
        </w:tc>
        <w:tc>
          <w:tcPr>
            <w:tcW w:w="1691" w:type="dxa"/>
            <w:vAlign w:val="center"/>
          </w:tcPr>
          <w:p w14:paraId="696414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7</w:t>
            </w:r>
          </w:p>
        </w:tc>
        <w:tc>
          <w:tcPr>
            <w:tcW w:w="1460" w:type="dxa"/>
            <w:vAlign w:val="center"/>
          </w:tcPr>
          <w:p w14:paraId="13485F11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pacing w:val="-4"/>
                <w:sz w:val="24"/>
                <w:szCs w:val="24"/>
              </w:rPr>
              <w:t>授权</w:t>
            </w:r>
          </w:p>
        </w:tc>
      </w:tr>
      <w:tr w14:paraId="35B99C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669503BE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20E261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  <w:t>一种基于物联网的农业智慧管理系统</w:t>
            </w:r>
          </w:p>
        </w:tc>
        <w:tc>
          <w:tcPr>
            <w:tcW w:w="2151" w:type="dxa"/>
            <w:vAlign w:val="center"/>
          </w:tcPr>
          <w:p w14:paraId="24CCC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ZL</w:t>
            </w:r>
            <w:r>
              <w:rPr>
                <w:rFonts w:hint="eastAsia" w:ascii="仿宋" w:hAnsi="仿宋" w:eastAsia="仿宋"/>
                <w:iCs/>
                <w:sz w:val="22"/>
                <w:szCs w:val="22"/>
                <w:lang w:eastAsia="zh-CN"/>
              </w:rPr>
              <w:t>202411280881.7</w:t>
            </w:r>
          </w:p>
        </w:tc>
        <w:tc>
          <w:tcPr>
            <w:tcW w:w="1691" w:type="dxa"/>
            <w:vAlign w:val="center"/>
          </w:tcPr>
          <w:p w14:paraId="7BA2B7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iCs/>
                <w:sz w:val="22"/>
                <w:szCs w:val="22"/>
                <w:lang w:val="en-US" w:eastAsia="zh-CN"/>
              </w:rPr>
            </w:pPr>
            <w:r>
              <w:rPr>
                <w:rFonts w:hint="eastAsia" w:ascii="仿宋" w:hAnsi="仿宋" w:eastAsia="仿宋"/>
                <w:iCs/>
                <w:sz w:val="22"/>
                <w:szCs w:val="22"/>
                <w:lang w:val="en-US" w:eastAsia="zh-CN"/>
              </w:rPr>
              <w:t>8</w:t>
            </w:r>
          </w:p>
        </w:tc>
        <w:tc>
          <w:tcPr>
            <w:tcW w:w="1460" w:type="dxa"/>
            <w:vAlign w:val="center"/>
          </w:tcPr>
          <w:p w14:paraId="236E8191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/>
                <w:spacing w:val="-4"/>
                <w:sz w:val="24"/>
                <w:szCs w:val="24"/>
                <w:highlight w:val="none"/>
              </w:rPr>
              <w:t>授权</w:t>
            </w:r>
          </w:p>
        </w:tc>
      </w:tr>
      <w:tr w14:paraId="76A3ED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74DB9783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065386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51" w:type="dxa"/>
            <w:vAlign w:val="center"/>
          </w:tcPr>
          <w:p w14:paraId="7BD8B7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1" w:type="dxa"/>
            <w:vAlign w:val="center"/>
          </w:tcPr>
          <w:p w14:paraId="10642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0" w:type="dxa"/>
            <w:vAlign w:val="center"/>
          </w:tcPr>
          <w:p w14:paraId="2DA8A8D2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14D46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2" w:hRule="atLeast"/>
          <w:jc w:val="center"/>
        </w:trPr>
        <w:tc>
          <w:tcPr>
            <w:tcW w:w="1085" w:type="dxa"/>
            <w:vAlign w:val="center"/>
          </w:tcPr>
          <w:p w14:paraId="190C8E4E">
            <w:pPr>
              <w:widowControl w:val="0"/>
              <w:numPr>
                <w:ilvl w:val="0"/>
                <w:numId w:val="2"/>
              </w:numPr>
              <w:ind w:left="694" w:leftChars="0" w:hanging="454" w:firstLineChars="0"/>
              <w:jc w:val="center"/>
              <w:rPr>
                <w:rFonts w:hint="eastAsia" w:ascii="宋体" w:hAnsi="宋体" w:eastAsia="宋体" w:cs="宋体"/>
                <w:b w:val="0"/>
                <w:bCs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90" w:type="dxa"/>
            <w:vAlign w:val="center"/>
          </w:tcPr>
          <w:p w14:paraId="3062A8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51" w:type="dxa"/>
            <w:vAlign w:val="center"/>
          </w:tcPr>
          <w:p w14:paraId="6EE3F5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691" w:type="dxa"/>
            <w:vAlign w:val="center"/>
          </w:tcPr>
          <w:p w14:paraId="705D1E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color w:val="000000" w:themeColor="text1"/>
                <w:sz w:val="24"/>
                <w:szCs w:val="24"/>
                <w:highlight w:val="none"/>
                <w:vertAlign w:val="baseline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1460" w:type="dxa"/>
            <w:vAlign w:val="center"/>
          </w:tcPr>
          <w:p w14:paraId="003581A3">
            <w:pPr>
              <w:widowControl w:val="0"/>
              <w:numPr>
                <w:ilvl w:val="0"/>
                <w:numId w:val="0"/>
              </w:numPr>
              <w:jc w:val="both"/>
              <w:rPr>
                <w:rFonts w:hint="eastAsia" w:ascii="宋体" w:hAnsi="宋体" w:eastAsia="宋体" w:cs="宋体"/>
                <w:b/>
                <w:color w:val="000000" w:themeColor="text1"/>
                <w:sz w:val="24"/>
                <w:szCs w:val="24"/>
                <w:highlight w:val="none"/>
                <w:vertAlign w:val="baseline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 w14:paraId="6E842384"/>
    <w:sectPr>
      <w:pgSz w:w="11906" w:h="16839"/>
      <w:pgMar w:top="1440" w:right="1800" w:bottom="1440" w:left="1800" w:header="851" w:footer="992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  <w:embedRegular r:id="rId1" w:fontKey="{A4ACA3AA-7133-437C-9126-BCA810C77DEA}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2" w:fontKey="{4FF314DC-767E-445F-9795-563893776144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7497AD8D-0E7A-416A-9D68-F842C2664710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4" w:fontKey="{938EC2A9-0A85-4BB0-91C4-7F7508D26F17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00DFB82"/>
    <w:multiLevelType w:val="singleLevel"/>
    <w:tmpl w:val="300DFB82"/>
    <w:lvl w:ilvl="0" w:tentative="0">
      <w:start w:val="1"/>
      <w:numFmt w:val="decimal"/>
      <w:lvlText w:val="%1"/>
      <w:lvlJc w:val="center"/>
      <w:pPr>
        <w:tabs>
          <w:tab w:val="left" w:pos="397"/>
        </w:tabs>
        <w:ind w:left="694" w:leftChars="0" w:hanging="454" w:firstLineChars="0"/>
      </w:pPr>
      <w:rPr>
        <w:rFonts w:hint="default"/>
      </w:rPr>
    </w:lvl>
  </w:abstractNum>
  <w:abstractNum w:abstractNumId="1">
    <w:nsid w:val="68B1AB3F"/>
    <w:multiLevelType w:val="singleLevel"/>
    <w:tmpl w:val="68B1AB3F"/>
    <w:lvl w:ilvl="0" w:tentative="0">
      <w:start w:val="1"/>
      <w:numFmt w:val="decimal"/>
      <w:lvlText w:val="%1"/>
      <w:lvlJc w:val="center"/>
      <w:pPr>
        <w:tabs>
          <w:tab w:val="left" w:pos="397"/>
        </w:tabs>
        <w:ind w:left="694" w:leftChars="0" w:hanging="454" w:firstLineChars="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Y1MDM3MzIwMDRhNTJkMjIwY2YxOGY2OGNmMTJkYTQifQ=="/>
  </w:docVars>
  <w:rsids>
    <w:rsidRoot w:val="1DBD37B6"/>
    <w:rsid w:val="006D18A2"/>
    <w:rsid w:val="022E26FA"/>
    <w:rsid w:val="027845DF"/>
    <w:rsid w:val="03287519"/>
    <w:rsid w:val="04164DE8"/>
    <w:rsid w:val="05807827"/>
    <w:rsid w:val="05907A23"/>
    <w:rsid w:val="0644429B"/>
    <w:rsid w:val="082B345A"/>
    <w:rsid w:val="08FF631A"/>
    <w:rsid w:val="09350D23"/>
    <w:rsid w:val="0AFA599E"/>
    <w:rsid w:val="0B4746A7"/>
    <w:rsid w:val="0BAF3205"/>
    <w:rsid w:val="0C4274CE"/>
    <w:rsid w:val="0C9B71E5"/>
    <w:rsid w:val="0DBC0F94"/>
    <w:rsid w:val="0EE76EA3"/>
    <w:rsid w:val="0EEF3EDE"/>
    <w:rsid w:val="0FBE1250"/>
    <w:rsid w:val="104B091B"/>
    <w:rsid w:val="11277FB0"/>
    <w:rsid w:val="14A8633C"/>
    <w:rsid w:val="14E95FA2"/>
    <w:rsid w:val="15B34F99"/>
    <w:rsid w:val="173C7B99"/>
    <w:rsid w:val="18297794"/>
    <w:rsid w:val="1844637C"/>
    <w:rsid w:val="19BD17EA"/>
    <w:rsid w:val="19C06B70"/>
    <w:rsid w:val="1A937147"/>
    <w:rsid w:val="1B0A6B1B"/>
    <w:rsid w:val="1B0D4C89"/>
    <w:rsid w:val="1B7510BC"/>
    <w:rsid w:val="1C632B49"/>
    <w:rsid w:val="1DBD37B6"/>
    <w:rsid w:val="1FFB1A16"/>
    <w:rsid w:val="20E12B84"/>
    <w:rsid w:val="220E2F64"/>
    <w:rsid w:val="22771867"/>
    <w:rsid w:val="2306317B"/>
    <w:rsid w:val="258A4ADA"/>
    <w:rsid w:val="25946DF3"/>
    <w:rsid w:val="26F47426"/>
    <w:rsid w:val="27F751B9"/>
    <w:rsid w:val="286914E7"/>
    <w:rsid w:val="29A46C7B"/>
    <w:rsid w:val="2B2A1401"/>
    <w:rsid w:val="2BF43A3F"/>
    <w:rsid w:val="2DAC4350"/>
    <w:rsid w:val="2E935510"/>
    <w:rsid w:val="30527DA8"/>
    <w:rsid w:val="31275097"/>
    <w:rsid w:val="31C942AB"/>
    <w:rsid w:val="329F4483"/>
    <w:rsid w:val="32C60367"/>
    <w:rsid w:val="37B54749"/>
    <w:rsid w:val="38242371"/>
    <w:rsid w:val="383638C8"/>
    <w:rsid w:val="393464AB"/>
    <w:rsid w:val="395104A1"/>
    <w:rsid w:val="3A5B15D7"/>
    <w:rsid w:val="3BDF7FE6"/>
    <w:rsid w:val="3BE21884"/>
    <w:rsid w:val="3C1001A0"/>
    <w:rsid w:val="3D1C4922"/>
    <w:rsid w:val="3D6C6897"/>
    <w:rsid w:val="3DA25094"/>
    <w:rsid w:val="3E353EED"/>
    <w:rsid w:val="3E753D13"/>
    <w:rsid w:val="3F600DB2"/>
    <w:rsid w:val="41AA51DD"/>
    <w:rsid w:val="42102C1F"/>
    <w:rsid w:val="435E3EE6"/>
    <w:rsid w:val="44A43B7B"/>
    <w:rsid w:val="47025D01"/>
    <w:rsid w:val="477E09F4"/>
    <w:rsid w:val="492D0AFB"/>
    <w:rsid w:val="4AF018C8"/>
    <w:rsid w:val="4BC73382"/>
    <w:rsid w:val="4D221AE1"/>
    <w:rsid w:val="4E1E6B85"/>
    <w:rsid w:val="4F7800DE"/>
    <w:rsid w:val="50560C35"/>
    <w:rsid w:val="51CE0489"/>
    <w:rsid w:val="52F361A9"/>
    <w:rsid w:val="542B1BC3"/>
    <w:rsid w:val="54597DE9"/>
    <w:rsid w:val="55134B70"/>
    <w:rsid w:val="55DB3175"/>
    <w:rsid w:val="56226FF5"/>
    <w:rsid w:val="5691043E"/>
    <w:rsid w:val="57060F64"/>
    <w:rsid w:val="579E445A"/>
    <w:rsid w:val="59125EA3"/>
    <w:rsid w:val="59AC10B0"/>
    <w:rsid w:val="59BE0DE3"/>
    <w:rsid w:val="5C0D1BAE"/>
    <w:rsid w:val="5C732359"/>
    <w:rsid w:val="5CCC6FF0"/>
    <w:rsid w:val="5E176D14"/>
    <w:rsid w:val="5F334C6A"/>
    <w:rsid w:val="5FB82768"/>
    <w:rsid w:val="5FBD5220"/>
    <w:rsid w:val="614F601C"/>
    <w:rsid w:val="635A7DCF"/>
    <w:rsid w:val="63CC32DD"/>
    <w:rsid w:val="6521041D"/>
    <w:rsid w:val="663E3B8A"/>
    <w:rsid w:val="669747C6"/>
    <w:rsid w:val="67FE1D73"/>
    <w:rsid w:val="686D1DC3"/>
    <w:rsid w:val="68A11027"/>
    <w:rsid w:val="6A4C5D65"/>
    <w:rsid w:val="6B6665B3"/>
    <w:rsid w:val="6BC57F01"/>
    <w:rsid w:val="6F7F3C4D"/>
    <w:rsid w:val="6F976628"/>
    <w:rsid w:val="70761FC0"/>
    <w:rsid w:val="71995F66"/>
    <w:rsid w:val="71F17B50"/>
    <w:rsid w:val="72896308"/>
    <w:rsid w:val="767D03F0"/>
    <w:rsid w:val="77F6368C"/>
    <w:rsid w:val="786F3C2C"/>
    <w:rsid w:val="78B13B95"/>
    <w:rsid w:val="7A1F7224"/>
    <w:rsid w:val="7C2670AB"/>
    <w:rsid w:val="7D1D3381"/>
    <w:rsid w:val="7D567401"/>
    <w:rsid w:val="7DA66F9A"/>
    <w:rsid w:val="7ECA3C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left"/>
    </w:pPr>
    <w:rPr>
      <w:rFonts w:asciiTheme="minorEastAsia" w:hAnsiTheme="minorEastAsia" w:eastAsiaTheme="minorEastAsia" w:cstheme="minorEastAsia"/>
      <w:kern w:val="0"/>
      <w:sz w:val="24"/>
      <w:szCs w:val="24"/>
      <w:lang w:val="en-US" w:eastAsia="zh-CN" w:bidi="ar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3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annotation text"/>
    <w:basedOn w:val="1"/>
    <w:uiPriority w:val="0"/>
    <w:pPr>
      <w:jc w:val="left"/>
    </w:pPr>
  </w:style>
  <w:style w:type="paragraph" w:styleId="5">
    <w:name w:val="Body Text Indent"/>
    <w:basedOn w:val="1"/>
    <w:semiHidden/>
    <w:qFormat/>
    <w:uiPriority w:val="0"/>
    <w:pPr>
      <w:tabs>
        <w:tab w:val="left" w:pos="1260"/>
      </w:tabs>
      <w:ind w:left="1260" w:hanging="1260"/>
    </w:pPr>
    <w:rPr>
      <w:rFonts w:ascii="宋体"/>
      <w:sz w:val="24"/>
      <w:szCs w:val="20"/>
    </w:rPr>
  </w:style>
  <w:style w:type="paragraph" w:styleId="6">
    <w:name w:val="Plain Text"/>
    <w:basedOn w:val="1"/>
    <w:qFormat/>
    <w:uiPriority w:val="0"/>
    <w:pPr>
      <w:spacing w:line="360" w:lineRule="auto"/>
      <w:ind w:firstLine="480" w:firstLineChars="200"/>
    </w:pPr>
    <w:rPr>
      <w:rFonts w:ascii="仿宋_GB2312"/>
      <w:sz w:val="24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1">
    <w:name w:val="普通(网站) Char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paragraph" w:customStyle="1" w:styleId="12">
    <w:name w:val="Table Text"/>
    <w:basedOn w:val="1"/>
    <w:semiHidden/>
    <w:qFormat/>
    <w:uiPriority w:val="0"/>
    <w:rPr>
      <w:rFonts w:ascii="宋体" w:hAnsi="宋体" w:eastAsia="宋体" w:cs="宋体"/>
      <w:sz w:val="24"/>
      <w:szCs w:val="24"/>
      <w:lang w:val="en-US" w:eastAsia="en-US" w:bidi="ar-SA"/>
    </w:rPr>
  </w:style>
  <w:style w:type="table" w:customStyle="1" w:styleId="1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2257</Words>
  <Characters>3263</Characters>
  <Lines>0</Lines>
  <Paragraphs>0</Paragraphs>
  <TotalTime>12</TotalTime>
  <ScaleCrop>false</ScaleCrop>
  <LinksUpToDate>false</LinksUpToDate>
  <CharactersWithSpaces>3408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2020-05-06T10:02:00Z</dcterms:created>
  <dc:creator>史春明（牛魔王）</dc:creator>
  <cp:lastModifiedBy>llc</cp:lastModifiedBy>
  <cp:lastPrinted>2022-02-23T07:49:00Z</cp:lastPrinted>
  <dcterms:modified xsi:type="dcterms:W3CDTF">2025-05-22T08:50:04Z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58EF3CE8FA0547588FD6533A8CC5076A_13</vt:lpwstr>
  </property>
  <property fmtid="{D5CDD505-2E9C-101B-9397-08002B2CF9AE}" pid="4" name="KSOTemplateDocerSaveRecord">
    <vt:lpwstr>eyJoZGlkIjoiNjkyYzM5NGZmZTljNDJjY2UzZmY0ZmJmZjhiMjgyYjQiLCJ1c2VySWQiOiIzNTIxMDM4MzIifQ==</vt:lpwstr>
  </property>
</Properties>
</file>