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B92B0">
      <w:pPr>
        <w:jc w:val="center"/>
        <w:outlineLvl w:val="0"/>
        <w:rPr>
          <w:rFonts w:eastAsia="方正小标宋简体"/>
          <w:spacing w:val="10"/>
          <w:sz w:val="43"/>
          <w:szCs w:val="43"/>
          <w14:textOutline w14:w="7962" w14:cap="flat" w14:cmpd="sng" w14:algn="ctr">
            <w14:solidFill>
              <w14:srgbClr w14:val="000000"/>
            </w14:solidFill>
            <w14:prstDash w14:val="solid"/>
            <w14:miter w14:val="0"/>
          </w14:textOutline>
        </w:rPr>
      </w:pPr>
      <w:r>
        <w:rPr>
          <w:rFonts w:hint="eastAsia" w:eastAsia="方正小标宋简体"/>
          <w:spacing w:val="10"/>
          <w:sz w:val="43"/>
          <w:szCs w:val="43"/>
          <w14:textOutline w14:w="7962" w14:cap="flat" w14:cmpd="sng" w14:algn="ctr">
            <w14:solidFill>
              <w14:srgbClr w14:val="000000"/>
            </w14:solidFill>
            <w14:prstDash w14:val="solid"/>
            <w14:miter w14:val="0"/>
          </w14:textOutline>
        </w:rPr>
        <w:t>法学与社会学院</w:t>
      </w:r>
    </w:p>
    <w:p w14:paraId="73C7481F">
      <w:pPr>
        <w:jc w:val="center"/>
        <w:outlineLvl w:val="0"/>
        <w:rPr>
          <w:rFonts w:eastAsia="方正小标宋简体"/>
          <w:spacing w:val="10"/>
          <w:sz w:val="43"/>
          <w:szCs w:val="43"/>
          <w14:textOutline w14:w="7962" w14:cap="flat" w14:cmpd="sng" w14:algn="ctr">
            <w14:solidFill>
              <w14:srgbClr w14:val="000000"/>
            </w14:solidFill>
            <w14:prstDash w14:val="solid"/>
            <w14:miter w14:val="0"/>
          </w14:textOutline>
        </w:rPr>
      </w:pPr>
      <w:r>
        <w:rPr>
          <w:rFonts w:eastAsia="方正小标宋简体"/>
          <w:spacing w:val="10"/>
          <w:sz w:val="43"/>
          <w:szCs w:val="43"/>
          <w14:textOutline w14:w="7962" w14:cap="flat" w14:cmpd="sng" w14:algn="ctr">
            <w14:solidFill>
              <w14:srgbClr w14:val="000000"/>
            </w14:solidFill>
            <w14:prstDash w14:val="solid"/>
            <w14:miter w14:val="0"/>
          </w14:textOutline>
        </w:rPr>
        <w:t>《</w:t>
      </w:r>
      <w:r>
        <w:rPr>
          <w:rFonts w:hint="eastAsia" w:eastAsia="方正小标宋简体"/>
          <w:spacing w:val="10"/>
          <w:sz w:val="43"/>
          <w:szCs w:val="43"/>
          <w14:textOutline w14:w="7962" w14:cap="flat" w14:cmpd="sng" w14:algn="ctr">
            <w14:solidFill>
              <w14:srgbClr w14:val="000000"/>
            </w14:solidFill>
            <w14:prstDash w14:val="solid"/>
            <w14:miter w14:val="0"/>
          </w14:textOutline>
        </w:rPr>
        <w:t>数智社会工作</w:t>
      </w:r>
      <w:r>
        <w:rPr>
          <w:rFonts w:eastAsia="方正小标宋简体"/>
          <w:spacing w:val="10"/>
          <w:sz w:val="43"/>
          <w:szCs w:val="43"/>
          <w14:textOutline w14:w="7962" w14:cap="flat" w14:cmpd="sng" w14:algn="ctr">
            <w14:solidFill>
              <w14:srgbClr w14:val="000000"/>
            </w14:solidFill>
            <w14:prstDash w14:val="solid"/>
            <w14:miter w14:val="0"/>
          </w14:textOutline>
        </w:rPr>
        <w:t>》微专业招生方案</w:t>
      </w:r>
    </w:p>
    <w:p w14:paraId="3F26B377">
      <w:pPr>
        <w:pStyle w:val="2"/>
        <w:rPr>
          <w:rFonts w:hint="eastAsia"/>
        </w:rPr>
      </w:pPr>
    </w:p>
    <w:p w14:paraId="4ABFACC7">
      <w:pPr>
        <w:pStyle w:val="2"/>
        <w:spacing w:before="10" w:after="10" w:line="360" w:lineRule="auto"/>
        <w:ind w:firstLine="654" w:firstLineChars="200"/>
        <w:jc w:val="both"/>
        <w:rPr>
          <w:rFonts w:ascii="Times New Roman" w:hAnsi="Times New Roman" w:cs="Times New Roman"/>
          <w:b/>
          <w:bCs/>
          <w:spacing w:val="8"/>
        </w:rPr>
      </w:pPr>
      <w:r>
        <w:rPr>
          <w:rFonts w:ascii="Times New Roman" w:hAnsi="Times New Roman" w:cs="Times New Roman"/>
          <w:b/>
          <w:bCs/>
          <w:spacing w:val="8"/>
        </w:rPr>
        <w:t>一、微专业简介</w:t>
      </w:r>
    </w:p>
    <w:p w14:paraId="1DD7884F">
      <w:pPr>
        <w:pStyle w:val="2"/>
        <w:spacing w:before="10" w:after="10" w:line="360" w:lineRule="auto"/>
        <w:ind w:firstLine="652" w:firstLineChars="200"/>
        <w:jc w:val="both"/>
        <w:rPr>
          <w:rFonts w:hint="eastAsia" w:ascii="Times New Roman" w:hAnsi="Times New Roman" w:cs="Times New Roman"/>
          <w:spacing w:val="8"/>
        </w:rPr>
      </w:pPr>
      <w:bookmarkStart w:id="0" w:name="OLE_LINK1"/>
      <w:r>
        <w:rPr>
          <w:rFonts w:hint="eastAsia" w:ascii="Times New Roman" w:hAnsi="Times New Roman" w:cs="Times New Roman"/>
          <w:spacing w:val="8"/>
        </w:rPr>
        <w:t>本微专业根据新时代国家治理体系和治理能力现代化需要，把立德树人作为根本任务，培养具备“以人为本、利他主义、助人自助、公平正义”的专业理念，具有数智社会工作专业理论知识与专业应用技术，能够在社会组织、党政机关及企事业单位等从事相关工作的专业人才。</w:t>
      </w:r>
    </w:p>
    <w:p w14:paraId="7D95BBA1">
      <w:pPr>
        <w:pStyle w:val="2"/>
        <w:spacing w:before="10" w:after="10" w:line="360" w:lineRule="auto"/>
        <w:ind w:firstLine="652" w:firstLineChars="200"/>
        <w:jc w:val="both"/>
        <w:rPr>
          <w:rFonts w:ascii="Times New Roman" w:hAnsi="Times New Roman" w:cs="Times New Roman"/>
          <w:spacing w:val="8"/>
        </w:rPr>
      </w:pPr>
      <w:r>
        <w:rPr>
          <w:rFonts w:hint="eastAsia" w:ascii="Times New Roman" w:hAnsi="Times New Roman" w:cs="Times New Roman"/>
          <w:spacing w:val="8"/>
        </w:rPr>
        <w:t>本微专业旨在培养适应数智化社会发展需求的社会工作人才，围绕数智社会的现实发展需求，逐步形成社会工作的</w:t>
      </w:r>
      <w:r>
        <w:rPr>
          <w:rFonts w:ascii="Times New Roman" w:hAnsi="Times New Roman" w:cs="Times New Roman"/>
          <w:spacing w:val="8"/>
        </w:rPr>
        <w:t>“</w:t>
      </w:r>
      <w:r>
        <w:rPr>
          <w:rFonts w:hint="eastAsia" w:ascii="Times New Roman" w:hAnsi="Times New Roman" w:cs="Times New Roman"/>
          <w:spacing w:val="8"/>
        </w:rPr>
        <w:t>服务-治理-发展”专业人才培养体系。本专业立足石家庄、面向京津冀、放眼国内外，深刻把握石家庄加快现代化、国际化美丽省会城市建设契机、人口老龄化发展趋势以及全国县级以上党委成立社会工作部这一现实需求，借鉴国内外先进经验，助推社会治理创新，促进社会和谐与发展。</w:t>
      </w:r>
      <w:bookmarkStart w:id="1" w:name="OLE_LINK4"/>
    </w:p>
    <w:bookmarkEnd w:id="0"/>
    <w:bookmarkEnd w:id="1"/>
    <w:p w14:paraId="620900CF">
      <w:pPr>
        <w:pStyle w:val="2"/>
        <w:spacing w:before="10" w:after="10" w:line="360" w:lineRule="auto"/>
        <w:ind w:firstLine="652" w:firstLineChars="200"/>
        <w:jc w:val="both"/>
        <w:rPr>
          <w:rFonts w:ascii="Times New Roman" w:hAnsi="Times New Roman" w:cs="Times New Roman"/>
          <w:spacing w:val="8"/>
        </w:rPr>
      </w:pPr>
      <w:r>
        <w:rPr>
          <w:rFonts w:ascii="Times New Roman" w:hAnsi="Times New Roman" w:cs="Times New Roman"/>
          <w:spacing w:val="8"/>
        </w:rPr>
        <w:t>专业特色：</w:t>
      </w:r>
      <w:r>
        <w:rPr>
          <w:rFonts w:hint="eastAsia" w:ascii="Times New Roman" w:hAnsi="Times New Roman" w:cs="Times New Roman"/>
          <w:spacing w:val="8"/>
        </w:rPr>
        <w:t>本微专业旨在培养适应数智化社会发展需求的社会工作人才。课程体系注重跨学科融合，将社会工作传统理论与现代科技手段相结合，提升学生综合素养。总体思路是构建知识、方法、实践三位一体的课程体系，涵盖基础理论、前沿科技与实务操作；同时强调学科交叉，促进学生对数智化时代社会问题的全面理解与解决能力。</w:t>
      </w:r>
    </w:p>
    <w:p w14:paraId="0E70DFA4">
      <w:pPr>
        <w:pStyle w:val="2"/>
        <w:spacing w:before="10" w:after="10" w:line="360" w:lineRule="auto"/>
        <w:ind w:firstLine="652" w:firstLineChars="200"/>
        <w:jc w:val="both"/>
        <w:rPr>
          <w:rFonts w:ascii="Times New Roman" w:hAnsi="Times New Roman" w:cs="Times New Roman"/>
          <w:spacing w:val="8"/>
        </w:rPr>
      </w:pPr>
      <w:r>
        <w:rPr>
          <w:rFonts w:hint="eastAsia" w:ascii="Times New Roman" w:hAnsi="Times New Roman" w:cs="Times New Roman"/>
          <w:spacing w:val="8"/>
        </w:rPr>
        <w:t>本微专业在培养中突出社会工作的专业价值观、社会工作基础理论与实务技能，强化专业素养，探讨个体与社会环境互动，构建社会工作基础认知框架；介绍社会调查的基本方法，探讨运用AI智能开展个案、小组的实务能力；介绍人工智能在社会治理中的应用，探讨其对社会工作的影响，培养科技与社会服务融合的思维。</w:t>
      </w:r>
    </w:p>
    <w:p w14:paraId="1B405346">
      <w:pPr>
        <w:pStyle w:val="2"/>
        <w:spacing w:before="10" w:after="10" w:line="360" w:lineRule="auto"/>
        <w:ind w:firstLine="652" w:firstLineChars="200"/>
        <w:jc w:val="both"/>
        <w:rPr>
          <w:rFonts w:ascii="Times New Roman" w:hAnsi="Times New Roman" w:cs="Times New Roman"/>
          <w:spacing w:val="8"/>
        </w:rPr>
      </w:pPr>
      <w:r>
        <w:rPr>
          <w:rFonts w:ascii="Times New Roman" w:hAnsi="Times New Roman" w:cs="Times New Roman"/>
          <w:spacing w:val="8"/>
        </w:rPr>
        <w:t>主要课程：</w:t>
      </w:r>
      <w:r>
        <w:rPr>
          <w:rFonts w:hint="eastAsia" w:ascii="Times New Roman" w:hAnsi="Times New Roman" w:cs="Times New Roman"/>
          <w:spacing w:val="8"/>
        </w:rPr>
        <w:t>数智技术与社会工作概论、社会研究方法、数智技术与社区工作、数智技术与儿童青少年社会工作、数智技术与老年社会工作、数智技术与家庭社会工作、数智技术与社会服务规划</w:t>
      </w:r>
    </w:p>
    <w:p w14:paraId="0DC75CDB">
      <w:pPr>
        <w:pStyle w:val="2"/>
        <w:spacing w:before="10" w:after="10" w:line="360" w:lineRule="auto"/>
        <w:ind w:firstLine="654" w:firstLineChars="200"/>
        <w:jc w:val="both"/>
        <w:rPr>
          <w:rFonts w:hint="eastAsia" w:ascii="Times New Roman" w:hAnsi="Times New Roman" w:cs="Times New Roman"/>
          <w:b/>
          <w:bCs/>
          <w:spacing w:val="8"/>
        </w:rPr>
      </w:pPr>
      <w:r>
        <w:rPr>
          <w:rFonts w:ascii="Times New Roman" w:hAnsi="Times New Roman" w:cs="Times New Roman"/>
          <w:b/>
          <w:bCs/>
          <w:spacing w:val="8"/>
        </w:rPr>
        <w:t>二、报名时间及开班要求</w:t>
      </w:r>
    </w:p>
    <w:p w14:paraId="3441E86B">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按照学校规定时间报名，原则上低于20人不开班。</w:t>
      </w:r>
    </w:p>
    <w:p w14:paraId="5F7E26D0">
      <w:pPr>
        <w:pStyle w:val="2"/>
        <w:rPr>
          <w:rFonts w:hint="eastAsia"/>
        </w:rPr>
        <w:sectPr>
          <w:footerReference r:id="rId3" w:type="default"/>
          <w:pgSz w:w="11907" w:h="16839"/>
          <w:pgMar w:top="1431" w:right="1469" w:bottom="1357" w:left="1593" w:header="0" w:footer="1197" w:gutter="0"/>
          <w:cols w:space="720" w:num="1"/>
        </w:sectPr>
      </w:pPr>
    </w:p>
    <w:p w14:paraId="05A3E085">
      <w:pPr>
        <w:pStyle w:val="2"/>
        <w:spacing w:before="10" w:after="10" w:line="360" w:lineRule="auto"/>
        <w:ind w:firstLine="654" w:firstLineChars="200"/>
        <w:jc w:val="both"/>
        <w:rPr>
          <w:rFonts w:hint="eastAsia" w:ascii="Times New Roman" w:hAnsi="Times New Roman" w:cs="Times New Roman"/>
          <w:b/>
          <w:bCs/>
          <w:spacing w:val="8"/>
        </w:rPr>
      </w:pPr>
      <w:r>
        <w:rPr>
          <w:rFonts w:hint="eastAsia" w:ascii="Times New Roman" w:hAnsi="Times New Roman" w:cs="Times New Roman"/>
          <w:b/>
          <w:bCs/>
          <w:spacing w:val="8"/>
        </w:rPr>
        <w:t>三、报名学生范围</w:t>
      </w:r>
    </w:p>
    <w:p w14:paraId="7AE8F174">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面向我校二年级在读普通全日制本科生。</w:t>
      </w:r>
    </w:p>
    <w:p w14:paraId="5583F69C">
      <w:pPr>
        <w:pStyle w:val="2"/>
        <w:spacing w:before="10" w:after="10" w:line="360" w:lineRule="auto"/>
        <w:ind w:firstLine="654" w:firstLineChars="200"/>
        <w:jc w:val="both"/>
        <w:rPr>
          <w:rFonts w:hint="eastAsia" w:ascii="Times New Roman" w:hAnsi="Times New Roman" w:cs="Times New Roman"/>
          <w:b/>
          <w:bCs/>
          <w:spacing w:val="8"/>
        </w:rPr>
      </w:pPr>
      <w:r>
        <w:rPr>
          <w:rFonts w:hint="eastAsia" w:ascii="Times New Roman" w:hAnsi="Times New Roman" w:cs="Times New Roman"/>
          <w:b/>
          <w:bCs/>
          <w:spacing w:val="8"/>
        </w:rPr>
        <w:t>四、证书</w:t>
      </w:r>
    </w:p>
    <w:p w14:paraId="4298A819">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1.学制2年。</w:t>
      </w:r>
    </w:p>
    <w:p w14:paraId="7575905C">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2.完成教学计划全部课程（14学分），经考核合格，发石家庄学院微专业证书。</w:t>
      </w:r>
    </w:p>
    <w:p w14:paraId="3A300BFD">
      <w:pPr>
        <w:pStyle w:val="2"/>
        <w:spacing w:before="10" w:after="10" w:line="360" w:lineRule="auto"/>
        <w:ind w:firstLine="654" w:firstLineChars="200"/>
        <w:jc w:val="both"/>
        <w:rPr>
          <w:rFonts w:hint="eastAsia" w:ascii="Times New Roman" w:hAnsi="Times New Roman" w:cs="Times New Roman"/>
          <w:b/>
          <w:bCs/>
          <w:spacing w:val="8"/>
        </w:rPr>
      </w:pPr>
      <w:r>
        <w:rPr>
          <w:rFonts w:hint="eastAsia" w:ascii="Times New Roman" w:hAnsi="Times New Roman" w:cs="Times New Roman"/>
          <w:b/>
          <w:bCs/>
          <w:spacing w:val="8"/>
        </w:rPr>
        <w:t>五、联系方式</w:t>
      </w:r>
    </w:p>
    <w:p w14:paraId="6048B868">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联系人：张老师、曹老师</w:t>
      </w:r>
    </w:p>
    <w:p w14:paraId="60D76344">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电话：13363893329，13832123502</w:t>
      </w:r>
    </w:p>
    <w:p w14:paraId="420820B6">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招生咨询QQ群号：783026071。</w:t>
      </w:r>
    </w:p>
    <w:p w14:paraId="4CDBCD5E">
      <w:pPr>
        <w:pStyle w:val="2"/>
        <w:spacing w:before="10" w:after="10" w:line="360" w:lineRule="auto"/>
        <w:ind w:firstLine="652" w:firstLineChars="200"/>
        <w:jc w:val="both"/>
        <w:rPr>
          <w:rFonts w:hint="eastAsia" w:ascii="Times New Roman" w:hAnsi="Times New Roman" w:cs="Times New Roman"/>
          <w:spacing w:val="8"/>
        </w:rPr>
      </w:pPr>
    </w:p>
    <w:p w14:paraId="27627487">
      <w:pPr>
        <w:pStyle w:val="2"/>
        <w:spacing w:before="10" w:after="10" w:line="360" w:lineRule="auto"/>
        <w:ind w:firstLine="652" w:firstLineChars="200"/>
        <w:jc w:val="both"/>
        <w:rPr>
          <w:rFonts w:hint="eastAsia"/>
        </w:rPr>
      </w:pPr>
      <w:r>
        <w:rPr>
          <w:rFonts w:hint="eastAsia" w:ascii="Times New Roman" w:hAnsi="Times New Roman" w:cs="Times New Roman"/>
          <w:spacing w:val="8"/>
        </w:rPr>
        <w:t>微专业将报名表发送到招生咨询QQ/微信群，供学生下载、报名使用。</w:t>
      </w:r>
    </w:p>
    <w:p w14:paraId="071D2FAB">
      <w:pPr>
        <w:pStyle w:val="2"/>
        <w:spacing w:before="10" w:after="10" w:line="360" w:lineRule="auto"/>
        <w:ind w:firstLine="654" w:firstLineChars="200"/>
        <w:jc w:val="both"/>
        <w:rPr>
          <w:rFonts w:hint="eastAsia" w:ascii="Times New Roman" w:hAnsi="Times New Roman" w:cs="Times New Roman"/>
          <w:b/>
          <w:bCs/>
          <w:spacing w:val="8"/>
        </w:rPr>
      </w:pPr>
      <w:bookmarkStart w:id="3" w:name="_GoBack"/>
      <w:r>
        <w:rPr>
          <w:rFonts w:hint="eastAsia" w:ascii="Times New Roman" w:hAnsi="Times New Roman" w:cs="Times New Roman"/>
          <w:b/>
          <w:bCs/>
          <w:spacing w:val="8"/>
        </w:rPr>
        <w:t>六、教学计划</w:t>
      </w:r>
    </w:p>
    <w:bookmarkEnd w:id="3"/>
    <w:p w14:paraId="05BA77AF">
      <w:pPr>
        <w:pStyle w:val="2"/>
        <w:spacing w:before="10" w:after="10" w:line="360" w:lineRule="auto"/>
        <w:ind w:firstLine="652" w:firstLineChars="200"/>
        <w:jc w:val="both"/>
        <w:rPr>
          <w:rFonts w:hint="eastAsia" w:ascii="Times New Roman" w:hAnsi="Times New Roman" w:cs="Times New Roman"/>
          <w:spacing w:val="8"/>
        </w:rPr>
      </w:pPr>
      <w:r>
        <w:rPr>
          <w:rFonts w:hint="eastAsia" w:ascii="Times New Roman" w:hAnsi="Times New Roman" w:cs="Times New Roman"/>
          <w:spacing w:val="8"/>
        </w:rPr>
        <w:t>本专业共设置7门专业核心课，总学分14分。有关课时排详见附件1。</w:t>
      </w:r>
    </w:p>
    <w:p w14:paraId="5D8E2FC4">
      <w:pPr>
        <w:sectPr>
          <w:footerReference r:id="rId4" w:type="default"/>
          <w:pgSz w:w="11907" w:h="16839"/>
          <w:pgMar w:top="1431" w:right="1469" w:bottom="1357" w:left="1604" w:header="0" w:footer="1197" w:gutter="0"/>
          <w:cols w:space="720" w:num="1"/>
        </w:sectPr>
      </w:pPr>
    </w:p>
    <w:p w14:paraId="32CB5F13"/>
    <w:p w14:paraId="3F0B32D2">
      <w:pPr>
        <w:pStyle w:val="2"/>
        <w:rPr>
          <w:rFonts w:hint="eastAsia"/>
        </w:rPr>
      </w:pPr>
      <w:r>
        <w:t>附件</w:t>
      </w:r>
      <w:r>
        <w:rPr>
          <w:rFonts w:eastAsia="Times New Roman"/>
          <w:b/>
          <w:bCs/>
        </w:rPr>
        <w:t>1</w:t>
      </w:r>
      <w:r>
        <w:t>：</w:t>
      </w:r>
    </w:p>
    <w:p w14:paraId="2BA970BE">
      <w:pPr>
        <w:pStyle w:val="2"/>
        <w:rPr>
          <w:rFonts w:hint="eastAsia"/>
        </w:rPr>
      </w:pPr>
      <w:r>
        <w:t>《</w:t>
      </w:r>
      <w:r>
        <w:rPr>
          <w:rFonts w:hint="eastAsia"/>
        </w:rPr>
        <w:t>数智社会工作</w:t>
      </w:r>
      <w:r>
        <w:t>》微专业课程设置计划表</w:t>
      </w:r>
    </w:p>
    <w:p w14:paraId="1E56E352"/>
    <w:tbl>
      <w:tblPr>
        <w:tblStyle w:val="6"/>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14:paraId="2894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14:paraId="065B8068">
            <w:r>
              <w:t>序号</w:t>
            </w:r>
          </w:p>
        </w:tc>
        <w:tc>
          <w:tcPr>
            <w:tcW w:w="3035" w:type="dxa"/>
            <w:vMerge w:val="restart"/>
            <w:shd w:val="clear" w:color="auto" w:fill="auto"/>
            <w:vAlign w:val="center"/>
          </w:tcPr>
          <w:p w14:paraId="7F59D16C">
            <w:r>
              <w:t>课程名称</w:t>
            </w:r>
          </w:p>
        </w:tc>
        <w:tc>
          <w:tcPr>
            <w:tcW w:w="1873" w:type="dxa"/>
            <w:vMerge w:val="restart"/>
            <w:vAlign w:val="center"/>
          </w:tcPr>
          <w:p w14:paraId="33C40C8E">
            <w:r>
              <w:t>开课学院</w:t>
            </w:r>
          </w:p>
        </w:tc>
        <w:tc>
          <w:tcPr>
            <w:tcW w:w="979" w:type="dxa"/>
            <w:vMerge w:val="restart"/>
            <w:shd w:val="clear" w:color="auto" w:fill="auto"/>
            <w:vAlign w:val="center"/>
          </w:tcPr>
          <w:p w14:paraId="032261DB">
            <w:r>
              <w:t>学分</w:t>
            </w:r>
          </w:p>
        </w:tc>
        <w:tc>
          <w:tcPr>
            <w:tcW w:w="937" w:type="dxa"/>
            <w:vMerge w:val="restart"/>
            <w:shd w:val="clear" w:color="auto" w:fill="auto"/>
            <w:vAlign w:val="center"/>
          </w:tcPr>
          <w:p w14:paraId="5910BFDC">
            <w:r>
              <w:t>学时</w:t>
            </w:r>
          </w:p>
        </w:tc>
        <w:tc>
          <w:tcPr>
            <w:tcW w:w="2390" w:type="dxa"/>
            <w:gridSpan w:val="3"/>
            <w:shd w:val="clear" w:color="auto" w:fill="auto"/>
            <w:vAlign w:val="center"/>
          </w:tcPr>
          <w:p w14:paraId="729D48B1">
            <w:r>
              <w:t>学时分配</w:t>
            </w:r>
          </w:p>
        </w:tc>
        <w:tc>
          <w:tcPr>
            <w:tcW w:w="1218" w:type="dxa"/>
            <w:vMerge w:val="restart"/>
            <w:shd w:val="clear" w:color="auto" w:fill="FFFFFF" w:themeFill="background1"/>
            <w:vAlign w:val="center"/>
          </w:tcPr>
          <w:p w14:paraId="16FAA31E">
            <w:pPr>
              <w:rPr>
                <w:color w:val="auto"/>
              </w:rPr>
            </w:pPr>
            <w:r>
              <w:t>开课学年（写1或者2）</w:t>
            </w:r>
          </w:p>
        </w:tc>
        <w:tc>
          <w:tcPr>
            <w:tcW w:w="1218" w:type="dxa"/>
            <w:vMerge w:val="restart"/>
            <w:shd w:val="clear" w:color="auto" w:fill="auto"/>
            <w:vAlign w:val="center"/>
          </w:tcPr>
          <w:p w14:paraId="28507045">
            <w:r>
              <w:t>开课学期</w:t>
            </w:r>
          </w:p>
          <w:p w14:paraId="30EFCDA6">
            <w:r>
              <w:t>（写秋季或者春季）</w:t>
            </w:r>
          </w:p>
        </w:tc>
        <w:tc>
          <w:tcPr>
            <w:tcW w:w="1218" w:type="dxa"/>
            <w:vMerge w:val="restart"/>
            <w:shd w:val="clear" w:color="auto" w:fill="auto"/>
            <w:vAlign w:val="center"/>
          </w:tcPr>
          <w:p w14:paraId="7AB13730"/>
          <w:p w14:paraId="7B9F1D20">
            <w:r>
              <w:t>考核方式</w:t>
            </w:r>
          </w:p>
          <w:p w14:paraId="222D5C06">
            <w:r>
              <w:t>（如考试等）</w:t>
            </w:r>
          </w:p>
        </w:tc>
        <w:tc>
          <w:tcPr>
            <w:tcW w:w="1221" w:type="dxa"/>
            <w:vMerge w:val="restart"/>
            <w:shd w:val="clear" w:color="auto" w:fill="auto"/>
            <w:vAlign w:val="center"/>
          </w:tcPr>
          <w:p w14:paraId="41300E59"/>
          <w:p w14:paraId="6BA340B3">
            <w:r>
              <w:t>考试方式</w:t>
            </w:r>
          </w:p>
          <w:p w14:paraId="70F60118">
            <w:r>
              <w:t>（如开卷、闭卷等）</w:t>
            </w:r>
          </w:p>
        </w:tc>
      </w:tr>
      <w:tr w14:paraId="1AC93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14:paraId="74B3FB9A"/>
        </w:tc>
        <w:tc>
          <w:tcPr>
            <w:tcW w:w="3035" w:type="dxa"/>
            <w:vMerge w:val="continue"/>
            <w:shd w:val="clear" w:color="auto" w:fill="auto"/>
            <w:vAlign w:val="center"/>
          </w:tcPr>
          <w:p w14:paraId="37C82C72"/>
        </w:tc>
        <w:tc>
          <w:tcPr>
            <w:tcW w:w="1873" w:type="dxa"/>
            <w:vMerge w:val="continue"/>
            <w:vAlign w:val="center"/>
          </w:tcPr>
          <w:p w14:paraId="155DE1AA"/>
        </w:tc>
        <w:tc>
          <w:tcPr>
            <w:tcW w:w="979" w:type="dxa"/>
            <w:vMerge w:val="continue"/>
            <w:shd w:val="clear" w:color="auto" w:fill="auto"/>
            <w:vAlign w:val="center"/>
          </w:tcPr>
          <w:p w14:paraId="4DA6FED7"/>
        </w:tc>
        <w:tc>
          <w:tcPr>
            <w:tcW w:w="937" w:type="dxa"/>
            <w:vMerge w:val="continue"/>
            <w:shd w:val="clear" w:color="auto" w:fill="auto"/>
            <w:vAlign w:val="center"/>
          </w:tcPr>
          <w:p w14:paraId="1A8B4DE8"/>
        </w:tc>
        <w:tc>
          <w:tcPr>
            <w:tcW w:w="849" w:type="dxa"/>
            <w:shd w:val="clear" w:color="auto" w:fill="auto"/>
            <w:vAlign w:val="center"/>
          </w:tcPr>
          <w:p w14:paraId="6D3881EA">
            <w:r>
              <w:t>理论</w:t>
            </w:r>
          </w:p>
        </w:tc>
        <w:tc>
          <w:tcPr>
            <w:tcW w:w="778" w:type="dxa"/>
            <w:shd w:val="clear" w:color="auto" w:fill="auto"/>
            <w:vAlign w:val="center"/>
          </w:tcPr>
          <w:p w14:paraId="2BDCD689">
            <w:r>
              <w:t>上机</w:t>
            </w:r>
          </w:p>
        </w:tc>
        <w:tc>
          <w:tcPr>
            <w:tcW w:w="763" w:type="dxa"/>
            <w:shd w:val="clear" w:color="auto" w:fill="auto"/>
            <w:vAlign w:val="center"/>
          </w:tcPr>
          <w:p w14:paraId="521F083B">
            <w:r>
              <w:t>实验实践</w:t>
            </w:r>
          </w:p>
        </w:tc>
        <w:tc>
          <w:tcPr>
            <w:tcW w:w="1218" w:type="dxa"/>
            <w:vMerge w:val="continue"/>
            <w:shd w:val="clear" w:color="auto" w:fill="FFFFFF" w:themeFill="background1"/>
            <w:vAlign w:val="center"/>
          </w:tcPr>
          <w:p w14:paraId="0B8B9DB2"/>
        </w:tc>
        <w:tc>
          <w:tcPr>
            <w:tcW w:w="1218" w:type="dxa"/>
            <w:vMerge w:val="continue"/>
            <w:shd w:val="clear" w:color="auto" w:fill="auto"/>
            <w:vAlign w:val="center"/>
          </w:tcPr>
          <w:p w14:paraId="062D7C7A"/>
        </w:tc>
        <w:tc>
          <w:tcPr>
            <w:tcW w:w="1218" w:type="dxa"/>
            <w:vMerge w:val="continue"/>
            <w:shd w:val="clear" w:color="auto" w:fill="auto"/>
            <w:vAlign w:val="center"/>
          </w:tcPr>
          <w:p w14:paraId="1A0CFA63"/>
        </w:tc>
        <w:tc>
          <w:tcPr>
            <w:tcW w:w="1221" w:type="dxa"/>
            <w:vMerge w:val="continue"/>
            <w:shd w:val="clear" w:color="auto" w:fill="auto"/>
            <w:vAlign w:val="center"/>
          </w:tcPr>
          <w:p w14:paraId="7EEE65ED"/>
        </w:tc>
      </w:tr>
      <w:tr w14:paraId="12265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3" w:hRule="atLeast"/>
          <w:jc w:val="center"/>
        </w:trPr>
        <w:tc>
          <w:tcPr>
            <w:tcW w:w="907" w:type="dxa"/>
            <w:vAlign w:val="center"/>
          </w:tcPr>
          <w:p w14:paraId="354DAE71">
            <w:r>
              <w:rPr>
                <w:rFonts w:hint="eastAsia"/>
              </w:rPr>
              <w:t>1</w:t>
            </w:r>
          </w:p>
        </w:tc>
        <w:tc>
          <w:tcPr>
            <w:tcW w:w="3035" w:type="dxa"/>
            <w:shd w:val="clear" w:color="auto" w:fill="auto"/>
            <w:vAlign w:val="center"/>
          </w:tcPr>
          <w:p w14:paraId="0029E8F1">
            <w:pPr>
              <w:pStyle w:val="2"/>
              <w:rPr>
                <w:rFonts w:hint="eastAsia" w:eastAsia="宋体"/>
                <w:color w:val="EE0000"/>
                <w:sz w:val="24"/>
                <w:szCs w:val="24"/>
              </w:rPr>
            </w:pPr>
            <w:r>
              <w:rPr>
                <w:rFonts w:hint="eastAsia"/>
              </w:rPr>
              <w:t>数智技术与社会工作概论</w:t>
            </w:r>
          </w:p>
        </w:tc>
        <w:tc>
          <w:tcPr>
            <w:tcW w:w="1873" w:type="dxa"/>
            <w:vAlign w:val="center"/>
          </w:tcPr>
          <w:p w14:paraId="62DA0864">
            <w:r>
              <w:rPr>
                <w:rFonts w:hint="eastAsia"/>
              </w:rPr>
              <w:t>法学与社会学院</w:t>
            </w:r>
          </w:p>
        </w:tc>
        <w:tc>
          <w:tcPr>
            <w:tcW w:w="979" w:type="dxa"/>
            <w:shd w:val="clear" w:color="auto" w:fill="auto"/>
            <w:vAlign w:val="center"/>
          </w:tcPr>
          <w:p w14:paraId="6180CFED">
            <w:r>
              <w:rPr>
                <w:rFonts w:hint="eastAsia"/>
              </w:rPr>
              <w:t>2</w:t>
            </w:r>
          </w:p>
        </w:tc>
        <w:tc>
          <w:tcPr>
            <w:tcW w:w="937" w:type="dxa"/>
            <w:shd w:val="clear" w:color="auto" w:fill="auto"/>
            <w:vAlign w:val="center"/>
          </w:tcPr>
          <w:p w14:paraId="25B59908">
            <w:r>
              <w:rPr>
                <w:rFonts w:hint="eastAsia"/>
              </w:rPr>
              <w:t>32</w:t>
            </w:r>
          </w:p>
        </w:tc>
        <w:tc>
          <w:tcPr>
            <w:tcW w:w="849" w:type="dxa"/>
            <w:shd w:val="clear" w:color="auto" w:fill="auto"/>
            <w:vAlign w:val="center"/>
          </w:tcPr>
          <w:p w14:paraId="42BC8AE4">
            <w:r>
              <w:rPr>
                <w:rFonts w:hint="eastAsia"/>
              </w:rPr>
              <w:t>32</w:t>
            </w:r>
          </w:p>
        </w:tc>
        <w:tc>
          <w:tcPr>
            <w:tcW w:w="778" w:type="dxa"/>
            <w:shd w:val="clear" w:color="auto" w:fill="auto"/>
            <w:vAlign w:val="center"/>
          </w:tcPr>
          <w:p w14:paraId="56293580"/>
        </w:tc>
        <w:tc>
          <w:tcPr>
            <w:tcW w:w="763" w:type="dxa"/>
            <w:shd w:val="clear" w:color="auto" w:fill="auto"/>
            <w:vAlign w:val="center"/>
          </w:tcPr>
          <w:p w14:paraId="05F66631"/>
        </w:tc>
        <w:tc>
          <w:tcPr>
            <w:tcW w:w="1218" w:type="dxa"/>
            <w:vMerge w:val="restart"/>
            <w:shd w:val="clear" w:color="auto" w:fill="FFFFFF" w:themeFill="background1"/>
            <w:vAlign w:val="center"/>
          </w:tcPr>
          <w:p w14:paraId="58BB0E7C">
            <w:r>
              <w:t>1</w:t>
            </w:r>
          </w:p>
        </w:tc>
        <w:tc>
          <w:tcPr>
            <w:tcW w:w="1218" w:type="dxa"/>
            <w:shd w:val="clear" w:color="auto" w:fill="auto"/>
            <w:vAlign w:val="center"/>
          </w:tcPr>
          <w:p w14:paraId="1B279D17">
            <w:r>
              <w:t>秋季</w:t>
            </w:r>
          </w:p>
        </w:tc>
        <w:tc>
          <w:tcPr>
            <w:tcW w:w="1218" w:type="dxa"/>
            <w:shd w:val="clear" w:color="auto" w:fill="auto"/>
            <w:vAlign w:val="center"/>
          </w:tcPr>
          <w:p w14:paraId="59C2405D">
            <w:r>
              <w:t>考试</w:t>
            </w:r>
          </w:p>
        </w:tc>
        <w:tc>
          <w:tcPr>
            <w:tcW w:w="1221" w:type="dxa"/>
            <w:shd w:val="clear" w:color="auto" w:fill="auto"/>
            <w:vAlign w:val="center"/>
          </w:tcPr>
          <w:p w14:paraId="0C2C14CB">
            <w:r>
              <w:t>开卷</w:t>
            </w:r>
          </w:p>
        </w:tc>
      </w:tr>
      <w:tr w14:paraId="22494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4" w:hRule="atLeast"/>
          <w:jc w:val="center"/>
        </w:trPr>
        <w:tc>
          <w:tcPr>
            <w:tcW w:w="907" w:type="dxa"/>
            <w:vAlign w:val="center"/>
          </w:tcPr>
          <w:p w14:paraId="64DEDD35">
            <w:r>
              <w:rPr>
                <w:rFonts w:hint="eastAsia"/>
              </w:rPr>
              <w:t>2</w:t>
            </w:r>
          </w:p>
        </w:tc>
        <w:tc>
          <w:tcPr>
            <w:tcW w:w="3035" w:type="dxa"/>
            <w:shd w:val="clear" w:color="auto" w:fill="auto"/>
            <w:vAlign w:val="center"/>
          </w:tcPr>
          <w:p w14:paraId="54D919F0">
            <w:pPr>
              <w:pStyle w:val="2"/>
              <w:rPr>
                <w:rFonts w:hint="eastAsia"/>
              </w:rPr>
            </w:pPr>
            <w:r>
              <w:rPr>
                <w:rFonts w:hint="eastAsia"/>
              </w:rPr>
              <w:t>社会研究方法</w:t>
            </w:r>
          </w:p>
        </w:tc>
        <w:tc>
          <w:tcPr>
            <w:tcW w:w="1873" w:type="dxa"/>
            <w:vAlign w:val="center"/>
          </w:tcPr>
          <w:p w14:paraId="27C4E44E">
            <w:r>
              <w:rPr>
                <w:rFonts w:hint="eastAsia"/>
              </w:rPr>
              <w:t>法学与社会学院</w:t>
            </w:r>
          </w:p>
        </w:tc>
        <w:tc>
          <w:tcPr>
            <w:tcW w:w="979" w:type="dxa"/>
            <w:shd w:val="clear" w:color="auto" w:fill="auto"/>
            <w:vAlign w:val="center"/>
          </w:tcPr>
          <w:p w14:paraId="47774F30">
            <w:r>
              <w:rPr>
                <w:rFonts w:hint="eastAsia"/>
              </w:rPr>
              <w:t>2</w:t>
            </w:r>
          </w:p>
        </w:tc>
        <w:tc>
          <w:tcPr>
            <w:tcW w:w="937" w:type="dxa"/>
            <w:shd w:val="clear" w:color="auto" w:fill="auto"/>
            <w:vAlign w:val="center"/>
          </w:tcPr>
          <w:p w14:paraId="4725CFE2">
            <w:r>
              <w:rPr>
                <w:rFonts w:hint="eastAsia"/>
              </w:rPr>
              <w:t>32</w:t>
            </w:r>
          </w:p>
        </w:tc>
        <w:tc>
          <w:tcPr>
            <w:tcW w:w="849" w:type="dxa"/>
            <w:shd w:val="clear" w:color="auto" w:fill="auto"/>
            <w:vAlign w:val="center"/>
          </w:tcPr>
          <w:p w14:paraId="10A4FD14">
            <w:r>
              <w:rPr>
                <w:rFonts w:hint="eastAsia"/>
              </w:rPr>
              <w:t>32</w:t>
            </w:r>
          </w:p>
        </w:tc>
        <w:tc>
          <w:tcPr>
            <w:tcW w:w="778" w:type="dxa"/>
            <w:shd w:val="clear" w:color="auto" w:fill="auto"/>
            <w:vAlign w:val="center"/>
          </w:tcPr>
          <w:p w14:paraId="248D91EE"/>
        </w:tc>
        <w:tc>
          <w:tcPr>
            <w:tcW w:w="763" w:type="dxa"/>
            <w:shd w:val="clear" w:color="auto" w:fill="auto"/>
            <w:vAlign w:val="center"/>
          </w:tcPr>
          <w:p w14:paraId="66240AA3"/>
        </w:tc>
        <w:tc>
          <w:tcPr>
            <w:tcW w:w="1218" w:type="dxa"/>
            <w:vMerge w:val="continue"/>
            <w:shd w:val="clear" w:color="auto" w:fill="FFFFFF" w:themeFill="background1"/>
            <w:vAlign w:val="center"/>
          </w:tcPr>
          <w:p w14:paraId="0FB8EB61"/>
        </w:tc>
        <w:tc>
          <w:tcPr>
            <w:tcW w:w="1218" w:type="dxa"/>
            <w:shd w:val="clear" w:color="auto" w:fill="auto"/>
            <w:vAlign w:val="center"/>
          </w:tcPr>
          <w:p w14:paraId="442AABC0">
            <w:r>
              <w:rPr>
                <w:rFonts w:hint="eastAsia"/>
              </w:rPr>
              <w:t>秋</w:t>
            </w:r>
            <w:r>
              <w:t>季</w:t>
            </w:r>
          </w:p>
        </w:tc>
        <w:tc>
          <w:tcPr>
            <w:tcW w:w="1218" w:type="dxa"/>
            <w:shd w:val="clear" w:color="auto" w:fill="auto"/>
            <w:vAlign w:val="center"/>
          </w:tcPr>
          <w:p w14:paraId="340BB17A">
            <w:r>
              <w:t>考试</w:t>
            </w:r>
          </w:p>
        </w:tc>
        <w:tc>
          <w:tcPr>
            <w:tcW w:w="1221" w:type="dxa"/>
            <w:shd w:val="clear" w:color="auto" w:fill="auto"/>
            <w:vAlign w:val="center"/>
          </w:tcPr>
          <w:p w14:paraId="3FA46F29">
            <w:r>
              <w:t>开卷</w:t>
            </w:r>
          </w:p>
        </w:tc>
      </w:tr>
      <w:tr w14:paraId="37E38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70981910">
            <w:r>
              <w:t>3</w:t>
            </w:r>
          </w:p>
        </w:tc>
        <w:tc>
          <w:tcPr>
            <w:tcW w:w="3035" w:type="dxa"/>
            <w:shd w:val="clear" w:color="auto" w:fill="auto"/>
            <w:vAlign w:val="center"/>
          </w:tcPr>
          <w:p w14:paraId="401DBB73">
            <w:pPr>
              <w:pStyle w:val="2"/>
              <w:rPr>
                <w:rFonts w:hint="eastAsia"/>
              </w:rPr>
            </w:pPr>
            <w:r>
              <w:rPr>
                <w:rFonts w:hint="eastAsia"/>
              </w:rPr>
              <w:t>数智技术与社区工作</w:t>
            </w:r>
          </w:p>
          <w:p w14:paraId="16066F67"/>
        </w:tc>
        <w:tc>
          <w:tcPr>
            <w:tcW w:w="1873" w:type="dxa"/>
            <w:vAlign w:val="center"/>
          </w:tcPr>
          <w:p w14:paraId="0FEC8E2C">
            <w:r>
              <w:rPr>
                <w:rFonts w:hint="eastAsia"/>
              </w:rPr>
              <w:t>法学与社会学院</w:t>
            </w:r>
          </w:p>
        </w:tc>
        <w:tc>
          <w:tcPr>
            <w:tcW w:w="979" w:type="dxa"/>
            <w:shd w:val="clear" w:color="auto" w:fill="auto"/>
            <w:vAlign w:val="center"/>
          </w:tcPr>
          <w:p w14:paraId="0116F9F7">
            <w:r>
              <w:rPr>
                <w:rFonts w:hint="eastAsia"/>
              </w:rPr>
              <w:t>2</w:t>
            </w:r>
          </w:p>
        </w:tc>
        <w:tc>
          <w:tcPr>
            <w:tcW w:w="937" w:type="dxa"/>
            <w:shd w:val="clear" w:color="auto" w:fill="auto"/>
            <w:vAlign w:val="center"/>
          </w:tcPr>
          <w:p w14:paraId="6980333F">
            <w:r>
              <w:rPr>
                <w:rFonts w:hint="eastAsia"/>
              </w:rPr>
              <w:t>32</w:t>
            </w:r>
          </w:p>
        </w:tc>
        <w:tc>
          <w:tcPr>
            <w:tcW w:w="849" w:type="dxa"/>
            <w:shd w:val="clear" w:color="auto" w:fill="auto"/>
            <w:vAlign w:val="center"/>
          </w:tcPr>
          <w:p w14:paraId="763AF2C4">
            <w:r>
              <w:rPr>
                <w:rFonts w:hint="eastAsia"/>
              </w:rPr>
              <w:t>32</w:t>
            </w:r>
          </w:p>
        </w:tc>
        <w:tc>
          <w:tcPr>
            <w:tcW w:w="778" w:type="dxa"/>
            <w:shd w:val="clear" w:color="auto" w:fill="auto"/>
            <w:vAlign w:val="center"/>
          </w:tcPr>
          <w:p w14:paraId="4E8050AC"/>
        </w:tc>
        <w:tc>
          <w:tcPr>
            <w:tcW w:w="763" w:type="dxa"/>
            <w:shd w:val="clear" w:color="auto" w:fill="auto"/>
            <w:vAlign w:val="center"/>
          </w:tcPr>
          <w:p w14:paraId="2BA3BFE9"/>
        </w:tc>
        <w:tc>
          <w:tcPr>
            <w:tcW w:w="1218" w:type="dxa"/>
            <w:vMerge w:val="restart"/>
            <w:shd w:val="clear" w:color="auto" w:fill="FFFFFF" w:themeFill="background1"/>
            <w:vAlign w:val="center"/>
          </w:tcPr>
          <w:p w14:paraId="440616ED">
            <w:r>
              <w:t>1</w:t>
            </w:r>
          </w:p>
        </w:tc>
        <w:tc>
          <w:tcPr>
            <w:tcW w:w="1218" w:type="dxa"/>
            <w:shd w:val="clear" w:color="auto" w:fill="auto"/>
            <w:vAlign w:val="center"/>
          </w:tcPr>
          <w:p w14:paraId="38AA4E4D">
            <w:r>
              <w:rPr>
                <w:rFonts w:hint="eastAsia"/>
              </w:rPr>
              <w:t>春</w:t>
            </w:r>
            <w:r>
              <w:t>季</w:t>
            </w:r>
          </w:p>
        </w:tc>
        <w:tc>
          <w:tcPr>
            <w:tcW w:w="1218" w:type="dxa"/>
            <w:shd w:val="clear" w:color="auto" w:fill="auto"/>
            <w:vAlign w:val="center"/>
          </w:tcPr>
          <w:p w14:paraId="788AAF65">
            <w:r>
              <w:t>考试</w:t>
            </w:r>
          </w:p>
        </w:tc>
        <w:tc>
          <w:tcPr>
            <w:tcW w:w="1221" w:type="dxa"/>
            <w:shd w:val="clear" w:color="auto" w:fill="auto"/>
            <w:vAlign w:val="center"/>
          </w:tcPr>
          <w:p w14:paraId="7B77A435">
            <w:r>
              <w:t>开卷</w:t>
            </w:r>
          </w:p>
        </w:tc>
      </w:tr>
      <w:tr w14:paraId="7723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2E10B06D">
            <w:r>
              <w:t>4</w:t>
            </w:r>
          </w:p>
        </w:tc>
        <w:tc>
          <w:tcPr>
            <w:tcW w:w="3035" w:type="dxa"/>
            <w:shd w:val="clear" w:color="auto" w:fill="auto"/>
            <w:vAlign w:val="center"/>
          </w:tcPr>
          <w:p w14:paraId="514D0AFB">
            <w:pPr>
              <w:pStyle w:val="2"/>
              <w:rPr>
                <w:rFonts w:hint="eastAsia"/>
              </w:rPr>
            </w:pPr>
            <w:r>
              <w:rPr>
                <w:rFonts w:hint="eastAsia"/>
              </w:rPr>
              <w:t>数智技术与儿童青少年社会工作</w:t>
            </w:r>
          </w:p>
        </w:tc>
        <w:tc>
          <w:tcPr>
            <w:tcW w:w="1873" w:type="dxa"/>
            <w:vAlign w:val="center"/>
          </w:tcPr>
          <w:p w14:paraId="13AB20AB">
            <w:r>
              <w:rPr>
                <w:rFonts w:hint="eastAsia"/>
              </w:rPr>
              <w:t>法学与社会学院</w:t>
            </w:r>
          </w:p>
        </w:tc>
        <w:tc>
          <w:tcPr>
            <w:tcW w:w="979" w:type="dxa"/>
            <w:shd w:val="clear" w:color="auto" w:fill="auto"/>
            <w:vAlign w:val="center"/>
          </w:tcPr>
          <w:p w14:paraId="2710FFAA">
            <w:r>
              <w:rPr>
                <w:rFonts w:hint="eastAsia"/>
              </w:rPr>
              <w:t>2</w:t>
            </w:r>
          </w:p>
        </w:tc>
        <w:tc>
          <w:tcPr>
            <w:tcW w:w="937" w:type="dxa"/>
            <w:shd w:val="clear" w:color="auto" w:fill="auto"/>
            <w:vAlign w:val="center"/>
          </w:tcPr>
          <w:p w14:paraId="522CD16E">
            <w:r>
              <w:rPr>
                <w:rFonts w:hint="eastAsia"/>
              </w:rPr>
              <w:t>32</w:t>
            </w:r>
          </w:p>
        </w:tc>
        <w:tc>
          <w:tcPr>
            <w:tcW w:w="849" w:type="dxa"/>
            <w:shd w:val="clear" w:color="auto" w:fill="auto"/>
            <w:vAlign w:val="center"/>
          </w:tcPr>
          <w:p w14:paraId="1C6B5D67">
            <w:r>
              <w:rPr>
                <w:rFonts w:hint="eastAsia"/>
              </w:rPr>
              <w:t>32</w:t>
            </w:r>
          </w:p>
        </w:tc>
        <w:tc>
          <w:tcPr>
            <w:tcW w:w="778" w:type="dxa"/>
            <w:shd w:val="clear" w:color="auto" w:fill="auto"/>
            <w:vAlign w:val="center"/>
          </w:tcPr>
          <w:p w14:paraId="5DEAF63B"/>
        </w:tc>
        <w:tc>
          <w:tcPr>
            <w:tcW w:w="763" w:type="dxa"/>
            <w:shd w:val="clear" w:color="auto" w:fill="auto"/>
            <w:vAlign w:val="center"/>
          </w:tcPr>
          <w:p w14:paraId="19F53005"/>
        </w:tc>
        <w:tc>
          <w:tcPr>
            <w:tcW w:w="1218" w:type="dxa"/>
            <w:vMerge w:val="continue"/>
            <w:shd w:val="clear" w:color="auto" w:fill="FFFFFF" w:themeFill="background1"/>
            <w:vAlign w:val="center"/>
          </w:tcPr>
          <w:p w14:paraId="6E3FE995"/>
        </w:tc>
        <w:tc>
          <w:tcPr>
            <w:tcW w:w="1218" w:type="dxa"/>
            <w:shd w:val="clear" w:color="auto" w:fill="auto"/>
            <w:vAlign w:val="center"/>
          </w:tcPr>
          <w:p w14:paraId="24F0FB0E">
            <w:r>
              <w:t>春季</w:t>
            </w:r>
          </w:p>
        </w:tc>
        <w:tc>
          <w:tcPr>
            <w:tcW w:w="1218" w:type="dxa"/>
            <w:shd w:val="clear" w:color="auto" w:fill="auto"/>
            <w:vAlign w:val="center"/>
          </w:tcPr>
          <w:p w14:paraId="4BDC20BA">
            <w:r>
              <w:rPr>
                <w:rFonts w:hint="eastAsia"/>
              </w:rPr>
              <w:t>考查</w:t>
            </w:r>
          </w:p>
        </w:tc>
        <w:tc>
          <w:tcPr>
            <w:tcW w:w="1221" w:type="dxa"/>
            <w:shd w:val="clear" w:color="auto" w:fill="auto"/>
            <w:vAlign w:val="center"/>
          </w:tcPr>
          <w:p w14:paraId="56E054D6">
            <w:r>
              <w:t>开卷</w:t>
            </w:r>
          </w:p>
        </w:tc>
      </w:tr>
      <w:tr w14:paraId="24CB1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298D09FD">
            <w:r>
              <w:t>5</w:t>
            </w:r>
          </w:p>
        </w:tc>
        <w:tc>
          <w:tcPr>
            <w:tcW w:w="3035" w:type="dxa"/>
            <w:shd w:val="clear" w:color="auto" w:fill="auto"/>
            <w:vAlign w:val="center"/>
          </w:tcPr>
          <w:p w14:paraId="22C4E649">
            <w:pPr>
              <w:pStyle w:val="2"/>
              <w:rPr>
                <w:rFonts w:hint="eastAsia"/>
              </w:rPr>
            </w:pPr>
            <w:r>
              <w:rPr>
                <w:rFonts w:hint="eastAsia"/>
              </w:rPr>
              <w:t>数智技术与老年社会工作</w:t>
            </w:r>
          </w:p>
        </w:tc>
        <w:tc>
          <w:tcPr>
            <w:tcW w:w="1873" w:type="dxa"/>
            <w:vAlign w:val="center"/>
          </w:tcPr>
          <w:p w14:paraId="76C33AE9">
            <w:r>
              <w:rPr>
                <w:rFonts w:hint="eastAsia"/>
              </w:rPr>
              <w:t>法学与社会学院</w:t>
            </w:r>
          </w:p>
        </w:tc>
        <w:tc>
          <w:tcPr>
            <w:tcW w:w="979" w:type="dxa"/>
            <w:shd w:val="clear" w:color="auto" w:fill="auto"/>
            <w:vAlign w:val="center"/>
          </w:tcPr>
          <w:p w14:paraId="3AB7E5EB">
            <w:r>
              <w:rPr>
                <w:rFonts w:hint="eastAsia"/>
              </w:rPr>
              <w:t>2</w:t>
            </w:r>
          </w:p>
        </w:tc>
        <w:tc>
          <w:tcPr>
            <w:tcW w:w="937" w:type="dxa"/>
            <w:shd w:val="clear" w:color="auto" w:fill="auto"/>
            <w:vAlign w:val="center"/>
          </w:tcPr>
          <w:p w14:paraId="3BFC4A27">
            <w:r>
              <w:rPr>
                <w:rFonts w:hint="eastAsia"/>
              </w:rPr>
              <w:t>32</w:t>
            </w:r>
          </w:p>
        </w:tc>
        <w:tc>
          <w:tcPr>
            <w:tcW w:w="849" w:type="dxa"/>
            <w:shd w:val="clear" w:color="auto" w:fill="auto"/>
            <w:vAlign w:val="center"/>
          </w:tcPr>
          <w:p w14:paraId="58B59594">
            <w:r>
              <w:rPr>
                <w:rFonts w:hint="eastAsia"/>
              </w:rPr>
              <w:t>32</w:t>
            </w:r>
          </w:p>
        </w:tc>
        <w:tc>
          <w:tcPr>
            <w:tcW w:w="778" w:type="dxa"/>
            <w:shd w:val="clear" w:color="auto" w:fill="auto"/>
            <w:vAlign w:val="center"/>
          </w:tcPr>
          <w:p w14:paraId="49383FAF"/>
        </w:tc>
        <w:tc>
          <w:tcPr>
            <w:tcW w:w="763" w:type="dxa"/>
            <w:shd w:val="clear" w:color="auto" w:fill="auto"/>
            <w:vAlign w:val="center"/>
          </w:tcPr>
          <w:p w14:paraId="0DEFEC27"/>
        </w:tc>
        <w:tc>
          <w:tcPr>
            <w:tcW w:w="1218" w:type="dxa"/>
            <w:vMerge w:val="restart"/>
            <w:shd w:val="clear" w:color="auto" w:fill="FFFFFF" w:themeFill="background1"/>
            <w:vAlign w:val="center"/>
          </w:tcPr>
          <w:p w14:paraId="484343E6">
            <w:r>
              <w:rPr>
                <w:rFonts w:hint="eastAsia"/>
              </w:rPr>
              <w:t>2</w:t>
            </w:r>
          </w:p>
        </w:tc>
        <w:tc>
          <w:tcPr>
            <w:tcW w:w="1218" w:type="dxa"/>
            <w:shd w:val="clear" w:color="auto" w:fill="auto"/>
            <w:vAlign w:val="center"/>
          </w:tcPr>
          <w:p w14:paraId="57909D14">
            <w:r>
              <w:t>秋季</w:t>
            </w:r>
          </w:p>
        </w:tc>
        <w:tc>
          <w:tcPr>
            <w:tcW w:w="1218" w:type="dxa"/>
            <w:shd w:val="clear" w:color="auto" w:fill="auto"/>
            <w:vAlign w:val="center"/>
          </w:tcPr>
          <w:p w14:paraId="61E6EFE4">
            <w:r>
              <w:rPr>
                <w:rFonts w:hint="eastAsia"/>
              </w:rPr>
              <w:t>考查</w:t>
            </w:r>
          </w:p>
        </w:tc>
        <w:tc>
          <w:tcPr>
            <w:tcW w:w="1221" w:type="dxa"/>
            <w:shd w:val="clear" w:color="auto" w:fill="auto"/>
            <w:vAlign w:val="center"/>
          </w:tcPr>
          <w:p w14:paraId="738DDFAF">
            <w:r>
              <w:t>开卷</w:t>
            </w:r>
          </w:p>
        </w:tc>
      </w:tr>
      <w:tr w14:paraId="1890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2" w:hRule="atLeast"/>
          <w:jc w:val="center"/>
        </w:trPr>
        <w:tc>
          <w:tcPr>
            <w:tcW w:w="907" w:type="dxa"/>
            <w:vAlign w:val="center"/>
          </w:tcPr>
          <w:p w14:paraId="1F6F6384">
            <w:r>
              <w:t>6</w:t>
            </w:r>
          </w:p>
        </w:tc>
        <w:tc>
          <w:tcPr>
            <w:tcW w:w="3035" w:type="dxa"/>
            <w:shd w:val="clear" w:color="auto" w:fill="auto"/>
            <w:vAlign w:val="center"/>
          </w:tcPr>
          <w:p w14:paraId="0F496F83">
            <w:pPr>
              <w:pStyle w:val="2"/>
              <w:rPr>
                <w:rFonts w:hint="eastAsia"/>
              </w:rPr>
            </w:pPr>
            <w:r>
              <w:rPr>
                <w:rFonts w:hint="eastAsia"/>
              </w:rPr>
              <w:t>数智技术与家庭社会工作</w:t>
            </w:r>
          </w:p>
        </w:tc>
        <w:tc>
          <w:tcPr>
            <w:tcW w:w="1873" w:type="dxa"/>
            <w:vAlign w:val="center"/>
          </w:tcPr>
          <w:p w14:paraId="0F479CAE">
            <w:bookmarkStart w:id="2" w:name="OLE_LINK3"/>
            <w:r>
              <w:rPr>
                <w:rFonts w:hint="eastAsia"/>
              </w:rPr>
              <w:t>法学与社会学院</w:t>
            </w:r>
            <w:bookmarkEnd w:id="2"/>
          </w:p>
        </w:tc>
        <w:tc>
          <w:tcPr>
            <w:tcW w:w="979" w:type="dxa"/>
            <w:shd w:val="clear" w:color="auto" w:fill="auto"/>
            <w:vAlign w:val="center"/>
          </w:tcPr>
          <w:p w14:paraId="49527981">
            <w:r>
              <w:rPr>
                <w:rFonts w:hint="eastAsia"/>
              </w:rPr>
              <w:t>2</w:t>
            </w:r>
          </w:p>
        </w:tc>
        <w:tc>
          <w:tcPr>
            <w:tcW w:w="937" w:type="dxa"/>
            <w:shd w:val="clear" w:color="auto" w:fill="auto"/>
            <w:vAlign w:val="center"/>
          </w:tcPr>
          <w:p w14:paraId="7C0C2FD6">
            <w:r>
              <w:rPr>
                <w:rFonts w:hint="eastAsia"/>
              </w:rPr>
              <w:t>32</w:t>
            </w:r>
          </w:p>
        </w:tc>
        <w:tc>
          <w:tcPr>
            <w:tcW w:w="849" w:type="dxa"/>
            <w:shd w:val="clear" w:color="auto" w:fill="auto"/>
            <w:vAlign w:val="center"/>
          </w:tcPr>
          <w:p w14:paraId="7A942D1C">
            <w:r>
              <w:rPr>
                <w:rFonts w:hint="eastAsia"/>
              </w:rPr>
              <w:t>32</w:t>
            </w:r>
          </w:p>
        </w:tc>
        <w:tc>
          <w:tcPr>
            <w:tcW w:w="778" w:type="dxa"/>
            <w:shd w:val="clear" w:color="auto" w:fill="auto"/>
            <w:vAlign w:val="center"/>
          </w:tcPr>
          <w:p w14:paraId="21937B7E"/>
        </w:tc>
        <w:tc>
          <w:tcPr>
            <w:tcW w:w="763" w:type="dxa"/>
            <w:shd w:val="clear" w:color="auto" w:fill="auto"/>
            <w:vAlign w:val="center"/>
          </w:tcPr>
          <w:p w14:paraId="31F54F0A"/>
        </w:tc>
        <w:tc>
          <w:tcPr>
            <w:tcW w:w="1218" w:type="dxa"/>
            <w:vMerge w:val="continue"/>
            <w:shd w:val="clear" w:color="auto" w:fill="FFFFFF" w:themeFill="background1"/>
            <w:vAlign w:val="center"/>
          </w:tcPr>
          <w:p w14:paraId="2AE60A4D"/>
        </w:tc>
        <w:tc>
          <w:tcPr>
            <w:tcW w:w="1218" w:type="dxa"/>
            <w:shd w:val="clear" w:color="auto" w:fill="auto"/>
            <w:vAlign w:val="center"/>
          </w:tcPr>
          <w:p w14:paraId="5625F361">
            <w:r>
              <w:t>春季</w:t>
            </w:r>
          </w:p>
        </w:tc>
        <w:tc>
          <w:tcPr>
            <w:tcW w:w="1218" w:type="dxa"/>
            <w:shd w:val="clear" w:color="auto" w:fill="auto"/>
            <w:vAlign w:val="center"/>
          </w:tcPr>
          <w:p w14:paraId="08F6AE0D">
            <w:r>
              <w:rPr>
                <w:rFonts w:hint="eastAsia"/>
              </w:rPr>
              <w:t>考查</w:t>
            </w:r>
          </w:p>
        </w:tc>
        <w:tc>
          <w:tcPr>
            <w:tcW w:w="1221" w:type="dxa"/>
            <w:shd w:val="clear" w:color="auto" w:fill="auto"/>
            <w:vAlign w:val="center"/>
          </w:tcPr>
          <w:p w14:paraId="7A7FEC14">
            <w:r>
              <w:t>开卷</w:t>
            </w:r>
          </w:p>
        </w:tc>
      </w:tr>
      <w:tr w14:paraId="68C558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2" w:hRule="atLeast"/>
          <w:jc w:val="center"/>
        </w:trPr>
        <w:tc>
          <w:tcPr>
            <w:tcW w:w="907" w:type="dxa"/>
            <w:vAlign w:val="center"/>
          </w:tcPr>
          <w:p w14:paraId="52C977B3">
            <w:r>
              <w:rPr>
                <w:rFonts w:hint="eastAsia"/>
              </w:rPr>
              <w:t>7</w:t>
            </w:r>
          </w:p>
        </w:tc>
        <w:tc>
          <w:tcPr>
            <w:tcW w:w="3035" w:type="dxa"/>
            <w:shd w:val="clear" w:color="auto" w:fill="auto"/>
            <w:vAlign w:val="center"/>
          </w:tcPr>
          <w:p w14:paraId="1601DEE1">
            <w:pPr>
              <w:pStyle w:val="2"/>
              <w:rPr>
                <w:rFonts w:hint="eastAsia"/>
              </w:rPr>
            </w:pPr>
            <w:r>
              <w:rPr>
                <w:rFonts w:hint="eastAsia"/>
              </w:rPr>
              <w:t>数智技术与社会服务规划</w:t>
            </w:r>
          </w:p>
        </w:tc>
        <w:tc>
          <w:tcPr>
            <w:tcW w:w="1873" w:type="dxa"/>
            <w:vAlign w:val="center"/>
          </w:tcPr>
          <w:p w14:paraId="60D010D6">
            <w:r>
              <w:rPr>
                <w:rFonts w:hint="eastAsia"/>
              </w:rPr>
              <w:t>法学与社会学院</w:t>
            </w:r>
          </w:p>
        </w:tc>
        <w:tc>
          <w:tcPr>
            <w:tcW w:w="979" w:type="dxa"/>
            <w:shd w:val="clear" w:color="auto" w:fill="auto"/>
            <w:vAlign w:val="center"/>
          </w:tcPr>
          <w:p w14:paraId="2922DD4D">
            <w:r>
              <w:rPr>
                <w:rFonts w:hint="eastAsia"/>
              </w:rPr>
              <w:t>2</w:t>
            </w:r>
          </w:p>
        </w:tc>
        <w:tc>
          <w:tcPr>
            <w:tcW w:w="937" w:type="dxa"/>
            <w:shd w:val="clear" w:color="auto" w:fill="auto"/>
            <w:vAlign w:val="center"/>
          </w:tcPr>
          <w:p w14:paraId="39909A9B">
            <w:r>
              <w:rPr>
                <w:rFonts w:hint="eastAsia"/>
              </w:rPr>
              <w:t>32</w:t>
            </w:r>
          </w:p>
        </w:tc>
        <w:tc>
          <w:tcPr>
            <w:tcW w:w="849" w:type="dxa"/>
            <w:shd w:val="clear" w:color="auto" w:fill="auto"/>
            <w:vAlign w:val="center"/>
          </w:tcPr>
          <w:p w14:paraId="7B87F8A8">
            <w:r>
              <w:rPr>
                <w:rFonts w:hint="eastAsia"/>
              </w:rPr>
              <w:t>32</w:t>
            </w:r>
          </w:p>
        </w:tc>
        <w:tc>
          <w:tcPr>
            <w:tcW w:w="778" w:type="dxa"/>
            <w:shd w:val="clear" w:color="auto" w:fill="auto"/>
            <w:vAlign w:val="center"/>
          </w:tcPr>
          <w:p w14:paraId="2A5B48C2"/>
        </w:tc>
        <w:tc>
          <w:tcPr>
            <w:tcW w:w="763" w:type="dxa"/>
            <w:shd w:val="clear" w:color="auto" w:fill="auto"/>
            <w:vAlign w:val="center"/>
          </w:tcPr>
          <w:p w14:paraId="0B02FA8B"/>
        </w:tc>
        <w:tc>
          <w:tcPr>
            <w:tcW w:w="1218" w:type="dxa"/>
            <w:shd w:val="clear" w:color="auto" w:fill="FFFFFF" w:themeFill="background1"/>
            <w:vAlign w:val="center"/>
          </w:tcPr>
          <w:p w14:paraId="0C526597">
            <w:r>
              <w:rPr>
                <w:rFonts w:hint="eastAsia"/>
              </w:rPr>
              <w:t>2</w:t>
            </w:r>
          </w:p>
        </w:tc>
        <w:tc>
          <w:tcPr>
            <w:tcW w:w="1218" w:type="dxa"/>
            <w:shd w:val="clear" w:color="auto" w:fill="auto"/>
            <w:vAlign w:val="center"/>
          </w:tcPr>
          <w:p w14:paraId="50100315">
            <w:r>
              <w:rPr>
                <w:rFonts w:hint="eastAsia"/>
              </w:rPr>
              <w:t>春季</w:t>
            </w:r>
          </w:p>
        </w:tc>
        <w:tc>
          <w:tcPr>
            <w:tcW w:w="1218" w:type="dxa"/>
            <w:shd w:val="clear" w:color="auto" w:fill="auto"/>
            <w:vAlign w:val="center"/>
          </w:tcPr>
          <w:p w14:paraId="1153236F">
            <w:r>
              <w:rPr>
                <w:rFonts w:hint="eastAsia"/>
              </w:rPr>
              <w:t>考查</w:t>
            </w:r>
          </w:p>
        </w:tc>
        <w:tc>
          <w:tcPr>
            <w:tcW w:w="1221" w:type="dxa"/>
            <w:shd w:val="clear" w:color="auto" w:fill="auto"/>
            <w:vAlign w:val="center"/>
          </w:tcPr>
          <w:p w14:paraId="3D8314E5">
            <w:r>
              <w:rPr>
                <w:rFonts w:hint="eastAsia"/>
              </w:rPr>
              <w:t>开卷</w:t>
            </w:r>
          </w:p>
        </w:tc>
      </w:tr>
    </w:tbl>
    <w:p w14:paraId="0526C8E4"/>
    <w:sectPr>
      <w:footerReference r:id="rId5" w:type="default"/>
      <w:pgSz w:w="16839" w:h="11907"/>
      <w:pgMar w:top="1012" w:right="2092" w:bottom="1355" w:left="2021"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32EE1">
    <w:r>
      <w:rPr>
        <w:spacing w:val="-14"/>
      </w:rPr>
      <w:t>-</w:t>
    </w:r>
    <w:r>
      <w:rPr>
        <w:w w:val="101"/>
      </w:rPr>
      <w:t xml:space="preserve"> </w:t>
    </w:r>
    <w:r>
      <w:rPr>
        <w:rFonts w:hint="eastAsia"/>
        <w:w w:val="101"/>
      </w:rPr>
      <w:t>2</w:t>
    </w:r>
    <w:r>
      <w:rPr>
        <w:spacing w:val="9"/>
      </w:rPr>
      <w:t xml:space="preserve"> </w:t>
    </w:r>
    <w:r>
      <w:rPr>
        <w:spacing w:val="-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1C553">
    <w:r>
      <w:t>-</w:t>
    </w:r>
    <w:r>
      <w:rPr>
        <w:spacing w:val="3"/>
      </w:rPr>
      <w:t xml:space="preserve"> </w:t>
    </w:r>
    <w:r>
      <w:rPr>
        <w:rFonts w:hint="eastAsia"/>
      </w:rPr>
      <w:t>3</w:t>
    </w:r>
    <w:r>
      <w:rPr>
        <w:spacing w:val="9"/>
      </w:rPr>
      <w:t xml:space="preserve"> </w:t>
    </w:r>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62BAF">
    <w:r>
      <w:t>-</w:t>
    </w:r>
    <w:r>
      <w:rPr>
        <w:spacing w:val="9"/>
      </w:rPr>
      <w:t xml:space="preserve"> </w:t>
    </w:r>
    <w:r>
      <w:rPr>
        <w:rFonts w:hint="eastAsia"/>
        <w:spacing w:val="9"/>
      </w:rPr>
      <w:t>4</w:t>
    </w:r>
    <w: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c2NmRlMzZjNGMzNDAxMzkzMDkwNDc3NzM1ZjQzNzgifQ=="/>
  </w:docVars>
  <w:rsids>
    <w:rsidRoot w:val="002E1F6D"/>
    <w:rsid w:val="00044CE7"/>
    <w:rsid w:val="0020073E"/>
    <w:rsid w:val="002118D2"/>
    <w:rsid w:val="00247D64"/>
    <w:rsid w:val="00260090"/>
    <w:rsid w:val="00282B38"/>
    <w:rsid w:val="002E1F6D"/>
    <w:rsid w:val="003504CE"/>
    <w:rsid w:val="003805FF"/>
    <w:rsid w:val="003F0F73"/>
    <w:rsid w:val="00417652"/>
    <w:rsid w:val="004809E2"/>
    <w:rsid w:val="004B16E4"/>
    <w:rsid w:val="004C40C5"/>
    <w:rsid w:val="004E191E"/>
    <w:rsid w:val="005C75EF"/>
    <w:rsid w:val="005F3DA6"/>
    <w:rsid w:val="00613A81"/>
    <w:rsid w:val="00701A80"/>
    <w:rsid w:val="007A7BD6"/>
    <w:rsid w:val="007B599E"/>
    <w:rsid w:val="00834F59"/>
    <w:rsid w:val="00891008"/>
    <w:rsid w:val="009045B1"/>
    <w:rsid w:val="00912287"/>
    <w:rsid w:val="00940B1C"/>
    <w:rsid w:val="009538B5"/>
    <w:rsid w:val="00A15595"/>
    <w:rsid w:val="00AD2D65"/>
    <w:rsid w:val="00B246E6"/>
    <w:rsid w:val="00B517F0"/>
    <w:rsid w:val="00B8447F"/>
    <w:rsid w:val="00BA60F7"/>
    <w:rsid w:val="00C81364"/>
    <w:rsid w:val="00D95088"/>
    <w:rsid w:val="00E804F1"/>
    <w:rsid w:val="00F21329"/>
    <w:rsid w:val="00FB75A0"/>
    <w:rsid w:val="01DD1E9F"/>
    <w:rsid w:val="02641C78"/>
    <w:rsid w:val="04272809"/>
    <w:rsid w:val="066E5B12"/>
    <w:rsid w:val="068E3768"/>
    <w:rsid w:val="095F5124"/>
    <w:rsid w:val="09D5345C"/>
    <w:rsid w:val="0A087319"/>
    <w:rsid w:val="0AB15C77"/>
    <w:rsid w:val="0B7373D0"/>
    <w:rsid w:val="0CE4520A"/>
    <w:rsid w:val="0D0D7D54"/>
    <w:rsid w:val="0F692FC4"/>
    <w:rsid w:val="107F4121"/>
    <w:rsid w:val="11BD3153"/>
    <w:rsid w:val="13D44822"/>
    <w:rsid w:val="15344D3E"/>
    <w:rsid w:val="173914CE"/>
    <w:rsid w:val="18202EF4"/>
    <w:rsid w:val="18673E19"/>
    <w:rsid w:val="186E33F9"/>
    <w:rsid w:val="1AA11864"/>
    <w:rsid w:val="1BEB30AD"/>
    <w:rsid w:val="1BF72B06"/>
    <w:rsid w:val="1CEF002A"/>
    <w:rsid w:val="1CF923ED"/>
    <w:rsid w:val="1E4A3FC0"/>
    <w:rsid w:val="1ED63AA6"/>
    <w:rsid w:val="1FD9586A"/>
    <w:rsid w:val="20F22B08"/>
    <w:rsid w:val="216628DE"/>
    <w:rsid w:val="24D411E6"/>
    <w:rsid w:val="24F0338E"/>
    <w:rsid w:val="26364E73"/>
    <w:rsid w:val="26435EC5"/>
    <w:rsid w:val="27FD02F5"/>
    <w:rsid w:val="28793E20"/>
    <w:rsid w:val="29E85C9E"/>
    <w:rsid w:val="2C5A3F68"/>
    <w:rsid w:val="2CA159E5"/>
    <w:rsid w:val="2CF653BC"/>
    <w:rsid w:val="2D35408E"/>
    <w:rsid w:val="2D8960D2"/>
    <w:rsid w:val="2DC40548"/>
    <w:rsid w:val="2DE24215"/>
    <w:rsid w:val="2EDB34DD"/>
    <w:rsid w:val="2F7716FB"/>
    <w:rsid w:val="2FAC4ADB"/>
    <w:rsid w:val="32B12408"/>
    <w:rsid w:val="32B53CA7"/>
    <w:rsid w:val="362A49AB"/>
    <w:rsid w:val="365D176C"/>
    <w:rsid w:val="39F72DF7"/>
    <w:rsid w:val="3A612966"/>
    <w:rsid w:val="3B681455"/>
    <w:rsid w:val="3DF31B27"/>
    <w:rsid w:val="3E064795"/>
    <w:rsid w:val="3E4203B8"/>
    <w:rsid w:val="41006A35"/>
    <w:rsid w:val="412F10C8"/>
    <w:rsid w:val="42892A5A"/>
    <w:rsid w:val="44D25F7E"/>
    <w:rsid w:val="484A2C8B"/>
    <w:rsid w:val="48913922"/>
    <w:rsid w:val="4A6530A5"/>
    <w:rsid w:val="4CEE0089"/>
    <w:rsid w:val="4D493511"/>
    <w:rsid w:val="4F18689A"/>
    <w:rsid w:val="50C8299F"/>
    <w:rsid w:val="52196A53"/>
    <w:rsid w:val="52E70BF5"/>
    <w:rsid w:val="54B27BEE"/>
    <w:rsid w:val="565847C5"/>
    <w:rsid w:val="5726041F"/>
    <w:rsid w:val="579E26AC"/>
    <w:rsid w:val="59CC7085"/>
    <w:rsid w:val="5A33357F"/>
    <w:rsid w:val="5C4952DC"/>
    <w:rsid w:val="5C6043D4"/>
    <w:rsid w:val="5F7110B0"/>
    <w:rsid w:val="608C1C3B"/>
    <w:rsid w:val="608D74C4"/>
    <w:rsid w:val="60A01243"/>
    <w:rsid w:val="61A378A1"/>
    <w:rsid w:val="61F47A98"/>
    <w:rsid w:val="626051D3"/>
    <w:rsid w:val="62F61536"/>
    <w:rsid w:val="630E4B89"/>
    <w:rsid w:val="65DF280D"/>
    <w:rsid w:val="66067D9A"/>
    <w:rsid w:val="667A42E4"/>
    <w:rsid w:val="66A845DD"/>
    <w:rsid w:val="66DB4D83"/>
    <w:rsid w:val="6891139B"/>
    <w:rsid w:val="68FA63BC"/>
    <w:rsid w:val="6BA42378"/>
    <w:rsid w:val="6CF03552"/>
    <w:rsid w:val="6D1F7993"/>
    <w:rsid w:val="6DC9002B"/>
    <w:rsid w:val="6DEC3272"/>
    <w:rsid w:val="6E310CF0"/>
    <w:rsid w:val="6F667AFB"/>
    <w:rsid w:val="6F800BBD"/>
    <w:rsid w:val="6FA1312D"/>
    <w:rsid w:val="72120AB6"/>
    <w:rsid w:val="726D2EA9"/>
    <w:rsid w:val="72FA0C86"/>
    <w:rsid w:val="774D25F6"/>
    <w:rsid w:val="78B33DB1"/>
    <w:rsid w:val="79674B9C"/>
    <w:rsid w:val="7A3A405E"/>
    <w:rsid w:val="7B431613"/>
    <w:rsid w:val="7C480E02"/>
    <w:rsid w:val="7E176B90"/>
    <w:rsid w:val="7E3F60E7"/>
    <w:rsid w:val="7E9F7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Times New Roman" w:hAnsi="Times New Roman" w:eastAsia="宋体" w:cs="Times New Roman"/>
      <w:snapToGrid w:val="0"/>
      <w:color w:val="000000"/>
      <w:sz w:val="24"/>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rPr>
  </w:style>
  <w:style w:type="paragraph" w:styleId="3">
    <w:name w:val="footer"/>
    <w:basedOn w:val="1"/>
    <w:link w:val="10"/>
    <w:qFormat/>
    <w:uiPriority w:val="0"/>
    <w:pPr>
      <w:tabs>
        <w:tab w:val="center" w:pos="4153"/>
        <w:tab w:val="right" w:pos="8306"/>
      </w:tabs>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5">
    <w:name w:val="Normal (Web)"/>
    <w:basedOn w:val="1"/>
    <w:autoRedefine/>
    <w:qFormat/>
    <w:uiPriority w:val="99"/>
    <w:pPr>
      <w:spacing w:beforeAutospacing="1" w:afterAutospacing="1"/>
    </w:p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Table Text"/>
    <w:basedOn w:val="1"/>
    <w:autoRedefine/>
    <w:semiHidden/>
    <w:qFormat/>
    <w:uiPriority w:val="0"/>
    <w:rPr>
      <w:rFonts w:ascii="仿宋" w:hAnsi="仿宋" w:eastAsia="仿宋" w:cs="仿宋"/>
    </w:rPr>
  </w:style>
  <w:style w:type="character" w:customStyle="1" w:styleId="10">
    <w:name w:val="页脚 字符"/>
    <w:basedOn w:val="7"/>
    <w:link w:val="3"/>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1200</Words>
  <Characters>1251</Characters>
  <Lines>9</Lines>
  <Paragraphs>2</Paragraphs>
  <TotalTime>146</TotalTime>
  <ScaleCrop>false</ScaleCrop>
  <LinksUpToDate>false</LinksUpToDate>
  <CharactersWithSpaces>1251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余则成</cp:lastModifiedBy>
  <dcterms:modified xsi:type="dcterms:W3CDTF">2025-06-27T09:47:31Z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2052-12.1.0.21541</vt:lpwstr>
  </property>
  <property fmtid="{D5CDD505-2E9C-101B-9397-08002B2CF9AE}" pid="5" name="ICV">
    <vt:lpwstr>D65F4993250645B79219DC42B503D7DA_13</vt:lpwstr>
  </property>
  <property fmtid="{D5CDD505-2E9C-101B-9397-08002B2CF9AE}" pid="6" name="KSOTemplateDocerSaveRecord">
    <vt:lpwstr>eyJoZGlkIjoiOWQ3NDFhMWZlYmEyNDVkODhiNGFkY2M5MGYzNWM3MzMiLCJ1c2VySWQiOiI0MTg2OTk0ODIifQ==</vt:lpwstr>
  </property>
</Properties>
</file>